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bookmarkStart w:id="0" w:name="_Toc_2_2_0000000001"/>
      <w:r>
        <w:fldChar w:fldCharType="begin"/>
      </w:r>
      <w:r>
        <w:instrText xml:space="preserve">TOC \o "3-3" \h \z \u</w:instrText>
      </w:r>
      <w:r>
        <w:fldChar w:fldCharType="separate"/>
      </w:r>
      <w:r>
        <w:fldChar w:fldCharType="begin"/>
      </w:r>
      <w:r>
        <w:instrText xml:space="preserve"> HYPERLINK \l "_Toc160200706" </w:instrText>
      </w:r>
      <w:r>
        <w:fldChar w:fldCharType="separate"/>
      </w:r>
      <w:r>
        <w:rPr>
          <w:rFonts w:hint="eastAsia"/>
        </w:rPr>
        <w:t>一、部门职责及机构设置情况</w:t>
      </w:r>
      <w:r>
        <w:tab/>
      </w:r>
      <w:r>
        <w:fldChar w:fldCharType="begin"/>
      </w:r>
      <w:r>
        <w:instrText xml:space="preserve"> PAGEREF _Toc160200706 \h </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"_Toc160200707" </w:instrText>
      </w:r>
      <w:r>
        <w:fldChar w:fldCharType="separate"/>
      </w:r>
      <w:r>
        <w:rPr>
          <w:rFonts w:hint="eastAsia"/>
        </w:rPr>
        <w:t>二、部门预算安排的总体情况</w:t>
      </w:r>
      <w:r>
        <w:tab/>
      </w:r>
      <w:r>
        <w:fldChar w:fldCharType="begin"/>
      </w:r>
      <w:r>
        <w:instrText xml:space="preserve"> PAGEREF _Toc160200707 \h </w:instrText>
      </w:r>
      <w:r>
        <w:fldChar w:fldCharType="separate"/>
      </w:r>
      <w:r>
        <w:t>20</w:t>
      </w:r>
      <w:r>
        <w:fldChar w:fldCharType="end"/>
      </w:r>
      <w:r>
        <w:fldChar w:fldCharType="end"/>
      </w:r>
    </w:p>
    <w:p>
      <w:pPr>
        <w:pStyle w:val="29"/>
        <w:tabs>
          <w:tab w:val="right" w:leader="dot" w:pos="14562"/>
        </w:tabs>
      </w:pPr>
      <w:r>
        <w:fldChar w:fldCharType="begin"/>
      </w:r>
      <w:r>
        <w:instrText xml:space="preserve"> HYPERLINK \l "_Toc160200708" </w:instrText>
      </w:r>
      <w:r>
        <w:fldChar w:fldCharType="separate"/>
      </w:r>
      <w:r>
        <w:rPr>
          <w:rFonts w:hint="eastAsia"/>
        </w:rPr>
        <w:t>三、机关运行经费安排情况</w:t>
      </w:r>
      <w:r>
        <w:tab/>
      </w:r>
      <w:r>
        <w:fldChar w:fldCharType="begin"/>
      </w:r>
      <w:r>
        <w:instrText xml:space="preserve"> PAGEREF _Toc160200708 \h </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"_Toc160200709"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_Toc160200709 \h </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"_Toc160200710" </w:instrText>
      </w:r>
      <w:r>
        <w:fldChar w:fldCharType="separate"/>
      </w:r>
      <w:r>
        <w:rPr>
          <w:rFonts w:hint="eastAsia"/>
        </w:rPr>
        <w:t>五、部门整体绩效目标</w:t>
      </w:r>
      <w:r>
        <w:tab/>
      </w:r>
      <w:r>
        <w:fldChar w:fldCharType="begin"/>
      </w:r>
      <w:r>
        <w:instrText xml:space="preserve"> PAGEREF _Toc160200710 \h </w:instrText>
      </w:r>
      <w:r>
        <w:fldChar w:fldCharType="separate"/>
      </w:r>
      <w:r>
        <w:t>22</w:t>
      </w:r>
      <w:r>
        <w:fldChar w:fldCharType="end"/>
      </w:r>
      <w:r>
        <w:fldChar w:fldCharType="end"/>
      </w:r>
    </w:p>
    <w:p>
      <w:pPr>
        <w:pStyle w:val="29"/>
        <w:tabs>
          <w:tab w:val="right" w:leader="dot" w:pos="14562"/>
        </w:tabs>
      </w:pPr>
      <w:r>
        <w:fldChar w:fldCharType="begin"/>
      </w:r>
      <w:r>
        <w:instrText xml:space="preserve"> HYPERLINK \l "_Toc160200711" </w:instrText>
      </w:r>
      <w:r>
        <w:fldChar w:fldCharType="separate"/>
      </w:r>
      <w:r>
        <w:rPr>
          <w:rFonts w:hint="eastAsia"/>
        </w:rPr>
        <w:t>六、部门项目预算安排情况及绩效目标</w:t>
      </w:r>
      <w:r>
        <w:tab/>
      </w:r>
      <w:r>
        <w:fldChar w:fldCharType="begin"/>
      </w:r>
      <w:r>
        <w:instrText xml:space="preserve"> PAGEREF _Toc160200711 \h </w:instrText>
      </w:r>
      <w:r>
        <w:fldChar w:fldCharType="separate"/>
      </w:r>
      <w:r>
        <w:t>25</w:t>
      </w:r>
      <w:r>
        <w:fldChar w:fldCharType="end"/>
      </w:r>
      <w:r>
        <w:fldChar w:fldCharType="end"/>
      </w:r>
    </w:p>
    <w:p>
      <w:pPr>
        <w:pStyle w:val="29"/>
        <w:tabs>
          <w:tab w:val="right" w:leader="dot" w:pos="14562"/>
        </w:tabs>
      </w:pPr>
      <w:r>
        <w:fldChar w:fldCharType="begin"/>
      </w:r>
      <w:r>
        <w:instrText xml:space="preserve"> HYPERLINK \l "_Toc160200712" </w:instrText>
      </w:r>
      <w:r>
        <w:fldChar w:fldCharType="separate"/>
      </w:r>
      <w:r>
        <w:rPr>
          <w:rFonts w:hint="eastAsia"/>
        </w:rPr>
        <w:t>七、政府采购预算情况</w:t>
      </w:r>
      <w:r>
        <w:tab/>
      </w:r>
      <w:r>
        <w:fldChar w:fldCharType="begin"/>
      </w:r>
      <w:r>
        <w:instrText xml:space="preserve"> PAGEREF _Toc160200712 \h </w:instrText>
      </w:r>
      <w:r>
        <w:fldChar w:fldCharType="separate"/>
      </w:r>
      <w:r>
        <w:t>33</w:t>
      </w:r>
      <w:r>
        <w:fldChar w:fldCharType="end"/>
      </w:r>
      <w:r>
        <w:fldChar w:fldCharType="end"/>
      </w:r>
    </w:p>
    <w:p>
      <w:pPr>
        <w:pStyle w:val="29"/>
        <w:tabs>
          <w:tab w:val="right" w:leader="dot" w:pos="14562"/>
        </w:tabs>
      </w:pPr>
      <w:r>
        <w:fldChar w:fldCharType="begin"/>
      </w:r>
      <w:r>
        <w:instrText xml:space="preserve"> HYPERLINK \l "_Toc160200713" </w:instrText>
      </w:r>
      <w:r>
        <w:fldChar w:fldCharType="separate"/>
      </w:r>
      <w:r>
        <w:rPr>
          <w:rFonts w:hint="eastAsia"/>
        </w:rPr>
        <w:t>八、国有资产信息</w:t>
      </w:r>
      <w:r>
        <w:tab/>
      </w:r>
      <w:r>
        <w:fldChar w:fldCharType="begin"/>
      </w:r>
      <w:r>
        <w:instrText xml:space="preserve"> PAGEREF _Toc160200713 \h </w:instrText>
      </w:r>
      <w:r>
        <w:fldChar w:fldCharType="separate"/>
      </w:r>
      <w:r>
        <w:t>33</w:t>
      </w:r>
      <w:r>
        <w:fldChar w:fldCharType="end"/>
      </w:r>
      <w:r>
        <w:fldChar w:fldCharType="end"/>
      </w:r>
    </w:p>
    <w:p>
      <w:pPr>
        <w:pStyle w:val="29"/>
        <w:tabs>
          <w:tab w:val="right" w:leader="dot" w:pos="14562"/>
        </w:tabs>
      </w:pPr>
      <w:r>
        <w:fldChar w:fldCharType="begin"/>
      </w:r>
      <w:r>
        <w:instrText xml:space="preserve"> HYPERLINK \l "_Toc160200714" </w:instrText>
      </w:r>
      <w:r>
        <w:fldChar w:fldCharType="separate"/>
      </w:r>
      <w:r>
        <w:rPr>
          <w:rFonts w:hint="eastAsia"/>
        </w:rPr>
        <w:t>九、名词解释</w:t>
      </w:r>
      <w:r>
        <w:tab/>
      </w:r>
      <w:r>
        <w:fldChar w:fldCharType="begin"/>
      </w:r>
      <w:r>
        <w:instrText xml:space="preserve"> PAGEREF _Toc160200714 \h </w:instrText>
      </w:r>
      <w:r>
        <w:fldChar w:fldCharType="separate"/>
      </w:r>
      <w:r>
        <w:t>34</w:t>
      </w:r>
      <w:r>
        <w:fldChar w:fldCharType="end"/>
      </w:r>
      <w:r>
        <w:fldChar w:fldCharType="end"/>
      </w:r>
    </w:p>
    <w:p>
      <w:pPr>
        <w:pStyle w:val="29"/>
        <w:tabs>
          <w:tab w:val="right" w:leader="dot" w:pos="14562"/>
        </w:tabs>
      </w:pPr>
      <w:r>
        <w:fldChar w:fldCharType="begin"/>
      </w:r>
      <w:r>
        <w:instrText xml:space="preserve"> HYPERLINK \l "_Toc160200715" </w:instrText>
      </w:r>
      <w:r>
        <w:fldChar w:fldCharType="separate"/>
      </w:r>
      <w:r>
        <w:rPr>
          <w:rFonts w:hint="eastAsia"/>
        </w:rPr>
        <w:t>十、其他需要说明的事项</w:t>
      </w:r>
      <w:r>
        <w:tab/>
      </w:r>
      <w:r>
        <w:fldChar w:fldCharType="begin"/>
      </w:r>
      <w:r>
        <w:instrText xml:space="preserve"> PAGEREF _Toc160200715 \h </w:instrText>
      </w:r>
      <w:r>
        <w:fldChar w:fldCharType="separate"/>
      </w:r>
      <w:r>
        <w:t>35</w:t>
      </w:r>
      <w:r>
        <w:fldChar w:fldCharType="end"/>
      </w:r>
      <w:r>
        <w:fldChar w:fldCharType="end"/>
      </w:r>
    </w:p>
    <w:p>
      <w:pPr>
        <w:pStyle w:val="29"/>
        <w:tabs>
          <w:tab w:val="right" w:leader="dot" w:pos="14562"/>
        </w:tabs>
        <w:sectPr>
          <w:pgSz w:w="16840" w:h="11900" w:orient="landscape"/>
          <w:pgMar w:top="1587" w:right="1134" w:bottom="1361" w:left="1134" w:header="720" w:footer="720" w:gutter="0"/>
          <w:pgNumType w:start="1"/>
          <w:cols w:space="720" w:num="1"/>
        </w:sectPr>
      </w:pPr>
      <w:r>
        <w:fldChar w:fldCharType="end"/>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322曲阳县商务局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829.70</w:t>
            </w:r>
          </w:p>
        </w:tc>
        <w:tc>
          <w:tcPr>
            <w:tcW w:w="4535" w:type="dxa"/>
            <w:vAlign w:val="center"/>
          </w:tcPr>
          <w:p>
            <w:pPr>
              <w:pStyle w:val="14"/>
            </w:pPr>
            <w:r>
              <w:t>一、一般公共服务支出</w:t>
            </w:r>
          </w:p>
        </w:tc>
        <w:tc>
          <w:tcPr>
            <w:tcW w:w="2126" w:type="dxa"/>
            <w:vAlign w:val="center"/>
          </w:tcPr>
          <w:p>
            <w:pPr>
              <w:pStyle w:val="13"/>
            </w:pPr>
            <w:r>
              <w:t>527.19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829.70</w:t>
            </w:r>
          </w:p>
        </w:tc>
        <w:tc>
          <w:tcPr>
            <w:tcW w:w="4535" w:type="dxa"/>
            <w:vAlign w:val="center"/>
          </w:tcPr>
          <w:p>
            <w:pPr>
              <w:pStyle w:val="16"/>
            </w:pPr>
            <w:r>
              <w:t>本年支出合计</w:t>
            </w:r>
          </w:p>
        </w:tc>
        <w:tc>
          <w:tcPr>
            <w:tcW w:w="2126" w:type="dxa"/>
            <w:vAlign w:val="center"/>
          </w:tcPr>
          <w:p>
            <w:pPr>
              <w:pStyle w:val="17"/>
            </w:pPr>
            <w:r>
              <w:t>1083.17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r>
              <w:t>253.47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1083.17</w:t>
            </w:r>
          </w:p>
        </w:tc>
        <w:tc>
          <w:tcPr>
            <w:tcW w:w="4535" w:type="dxa"/>
            <w:vAlign w:val="center"/>
          </w:tcPr>
          <w:p>
            <w:pPr>
              <w:pStyle w:val="16"/>
            </w:pPr>
            <w:r>
              <w:t>支出总计</w:t>
            </w:r>
          </w:p>
        </w:tc>
        <w:tc>
          <w:tcPr>
            <w:tcW w:w="2126" w:type="dxa"/>
            <w:vAlign w:val="center"/>
          </w:tcPr>
          <w:p>
            <w:pPr>
              <w:pStyle w:val="17"/>
            </w:pPr>
            <w:r>
              <w:t>1083.17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322曲阳县商务局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1083.17</w:t>
            </w:r>
          </w:p>
        </w:tc>
        <w:tc>
          <w:tcPr>
            <w:tcW w:w="1134" w:type="dxa"/>
            <w:vAlign w:val="center"/>
          </w:tcPr>
          <w:p>
            <w:pPr>
              <w:pStyle w:val="17"/>
            </w:pPr>
            <w:r>
              <w:t>829.70</w:t>
            </w:r>
          </w:p>
        </w:tc>
        <w:tc>
          <w:tcPr>
            <w:tcW w:w="1134" w:type="dxa"/>
            <w:vAlign w:val="center"/>
          </w:tcPr>
          <w:p>
            <w:pPr>
              <w:pStyle w:val="17"/>
            </w:pPr>
            <w:r>
              <w:t>829.70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527.19</w:t>
            </w:r>
          </w:p>
        </w:tc>
        <w:tc>
          <w:tcPr>
            <w:tcW w:w="1134" w:type="dxa"/>
            <w:vAlign w:val="center"/>
          </w:tcPr>
          <w:p>
            <w:pPr>
              <w:pStyle w:val="13"/>
            </w:pPr>
            <w:r>
              <w:t>527.19</w:t>
            </w:r>
          </w:p>
        </w:tc>
        <w:tc>
          <w:tcPr>
            <w:tcW w:w="1134" w:type="dxa"/>
            <w:vAlign w:val="center"/>
          </w:tcPr>
          <w:p>
            <w:pPr>
              <w:pStyle w:val="13"/>
            </w:pPr>
            <w:r>
              <w:t>527.19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527.19</w:t>
            </w:r>
          </w:p>
        </w:tc>
        <w:tc>
          <w:tcPr>
            <w:tcW w:w="1134" w:type="dxa"/>
            <w:vAlign w:val="center"/>
          </w:tcPr>
          <w:p>
            <w:pPr>
              <w:pStyle w:val="13"/>
            </w:pPr>
            <w:r>
              <w:t>527.19</w:t>
            </w:r>
          </w:p>
        </w:tc>
        <w:tc>
          <w:tcPr>
            <w:tcW w:w="1134" w:type="dxa"/>
            <w:vAlign w:val="center"/>
          </w:tcPr>
          <w:p>
            <w:pPr>
              <w:pStyle w:val="13"/>
            </w:pPr>
            <w:r>
              <w:t>527.19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2011301</w:t>
            </w:r>
          </w:p>
        </w:tc>
        <w:tc>
          <w:tcPr>
            <w:tcW w:w="1559" w:type="dxa"/>
            <w:vAlign w:val="center"/>
          </w:tcPr>
          <w:p>
            <w:pPr>
              <w:pStyle w:val="14"/>
            </w:pPr>
            <w:r>
              <w:t>行政运行</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r>
              <w:t>107.60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293.31</w:t>
            </w:r>
          </w:p>
        </w:tc>
        <w:tc>
          <w:tcPr>
            <w:tcW w:w="1134" w:type="dxa"/>
            <w:vAlign w:val="center"/>
          </w:tcPr>
          <w:p>
            <w:pPr>
              <w:pStyle w:val="13"/>
            </w:pPr>
            <w:r>
              <w:t>293.31</w:t>
            </w:r>
          </w:p>
        </w:tc>
        <w:tc>
          <w:tcPr>
            <w:tcW w:w="1134" w:type="dxa"/>
            <w:vAlign w:val="center"/>
          </w:tcPr>
          <w:p>
            <w:pPr>
              <w:pStyle w:val="13"/>
            </w:pPr>
            <w:r>
              <w:t>293.31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2011399</w:t>
            </w:r>
          </w:p>
        </w:tc>
        <w:tc>
          <w:tcPr>
            <w:tcW w:w="1559" w:type="dxa"/>
            <w:vAlign w:val="center"/>
          </w:tcPr>
          <w:p>
            <w:pPr>
              <w:pStyle w:val="14"/>
            </w:pPr>
            <w:r>
              <w:t>其他商贸事务支出</w:t>
            </w:r>
          </w:p>
        </w:tc>
        <w:tc>
          <w:tcPr>
            <w:tcW w:w="1134" w:type="dxa"/>
            <w:vAlign w:val="center"/>
          </w:tcPr>
          <w:p>
            <w:pPr>
              <w:pStyle w:val="13"/>
            </w:pPr>
            <w:r>
              <w:t>116.28</w:t>
            </w:r>
          </w:p>
        </w:tc>
        <w:tc>
          <w:tcPr>
            <w:tcW w:w="1134" w:type="dxa"/>
            <w:vAlign w:val="center"/>
          </w:tcPr>
          <w:p>
            <w:pPr>
              <w:pStyle w:val="13"/>
            </w:pPr>
            <w:r>
              <w:t>116.28</w:t>
            </w:r>
          </w:p>
        </w:tc>
        <w:tc>
          <w:tcPr>
            <w:tcW w:w="1134" w:type="dxa"/>
            <w:vAlign w:val="center"/>
          </w:tcPr>
          <w:p>
            <w:pPr>
              <w:pStyle w:val="13"/>
            </w:pPr>
            <w:r>
              <w:t>116.28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215.47</w:t>
            </w:r>
          </w:p>
        </w:tc>
        <w:tc>
          <w:tcPr>
            <w:tcW w:w="1134" w:type="dxa"/>
            <w:vAlign w:val="center"/>
          </w:tcPr>
          <w:p>
            <w:pPr>
              <w:pStyle w:val="13"/>
            </w:pPr>
            <w:r>
              <w:t>215.47</w:t>
            </w:r>
          </w:p>
        </w:tc>
        <w:tc>
          <w:tcPr>
            <w:tcW w:w="1134" w:type="dxa"/>
            <w:vAlign w:val="center"/>
          </w:tcPr>
          <w:p>
            <w:pPr>
              <w:pStyle w:val="13"/>
            </w:pPr>
            <w:r>
              <w:t>215.47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212.61</w:t>
            </w:r>
          </w:p>
        </w:tc>
        <w:tc>
          <w:tcPr>
            <w:tcW w:w="1134" w:type="dxa"/>
            <w:vAlign w:val="center"/>
          </w:tcPr>
          <w:p>
            <w:pPr>
              <w:pStyle w:val="13"/>
            </w:pPr>
            <w:r>
              <w:t>212.61</w:t>
            </w:r>
          </w:p>
        </w:tc>
        <w:tc>
          <w:tcPr>
            <w:tcW w:w="1134" w:type="dxa"/>
            <w:vAlign w:val="center"/>
          </w:tcPr>
          <w:p>
            <w:pPr>
              <w:pStyle w:val="13"/>
            </w:pPr>
            <w:r>
              <w:t>212.61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90.91</w:t>
            </w:r>
          </w:p>
        </w:tc>
        <w:tc>
          <w:tcPr>
            <w:tcW w:w="1134" w:type="dxa"/>
            <w:vAlign w:val="center"/>
          </w:tcPr>
          <w:p>
            <w:pPr>
              <w:pStyle w:val="13"/>
            </w:pPr>
            <w:r>
              <w:t>90.91</w:t>
            </w:r>
          </w:p>
        </w:tc>
        <w:tc>
          <w:tcPr>
            <w:tcW w:w="1134" w:type="dxa"/>
            <w:vAlign w:val="center"/>
          </w:tcPr>
          <w:p>
            <w:pPr>
              <w:pStyle w:val="13"/>
            </w:pPr>
            <w:r>
              <w:t>90.91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53.54</w:t>
            </w:r>
          </w:p>
        </w:tc>
        <w:tc>
          <w:tcPr>
            <w:tcW w:w="1134" w:type="dxa"/>
            <w:vAlign w:val="center"/>
          </w:tcPr>
          <w:p>
            <w:pPr>
              <w:pStyle w:val="13"/>
            </w:pPr>
            <w:r>
              <w:t>53.54</w:t>
            </w:r>
          </w:p>
        </w:tc>
        <w:tc>
          <w:tcPr>
            <w:tcW w:w="1134" w:type="dxa"/>
            <w:vAlign w:val="center"/>
          </w:tcPr>
          <w:p>
            <w:pPr>
              <w:pStyle w:val="13"/>
            </w:pPr>
            <w:r>
              <w:t>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49.53</w:t>
            </w:r>
          </w:p>
        </w:tc>
        <w:tc>
          <w:tcPr>
            <w:tcW w:w="1134" w:type="dxa"/>
            <w:vAlign w:val="center"/>
          </w:tcPr>
          <w:p>
            <w:pPr>
              <w:pStyle w:val="13"/>
            </w:pPr>
            <w:r>
              <w:t>49.53</w:t>
            </w:r>
          </w:p>
        </w:tc>
        <w:tc>
          <w:tcPr>
            <w:tcW w:w="1134" w:type="dxa"/>
            <w:vAlign w:val="center"/>
          </w:tcPr>
          <w:p>
            <w:pPr>
              <w:pStyle w:val="13"/>
            </w:pPr>
            <w:r>
              <w:t>49.53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18.63</w:t>
            </w:r>
          </w:p>
        </w:tc>
        <w:tc>
          <w:tcPr>
            <w:tcW w:w="1134" w:type="dxa"/>
            <w:vAlign w:val="center"/>
          </w:tcPr>
          <w:p>
            <w:pPr>
              <w:pStyle w:val="13"/>
            </w:pPr>
            <w:r>
              <w:t>18.63</w:t>
            </w:r>
          </w:p>
        </w:tc>
        <w:tc>
          <w:tcPr>
            <w:tcW w:w="1134" w:type="dxa"/>
            <w:vAlign w:val="center"/>
          </w:tcPr>
          <w:p>
            <w:pPr>
              <w:pStyle w:val="13"/>
            </w:pPr>
            <w:r>
              <w:t>18.63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1.46</w:t>
            </w:r>
          </w:p>
        </w:tc>
        <w:tc>
          <w:tcPr>
            <w:tcW w:w="1134" w:type="dxa"/>
            <w:vAlign w:val="center"/>
          </w:tcPr>
          <w:p>
            <w:pPr>
              <w:pStyle w:val="13"/>
            </w:pPr>
            <w:r>
              <w:t>1.46</w:t>
            </w:r>
          </w:p>
        </w:tc>
        <w:tc>
          <w:tcPr>
            <w:tcW w:w="1134" w:type="dxa"/>
            <w:vAlign w:val="center"/>
          </w:tcPr>
          <w:p>
            <w:pPr>
              <w:pStyle w:val="13"/>
            </w:pPr>
            <w:r>
              <w:t>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36.05</w:t>
            </w:r>
          </w:p>
        </w:tc>
        <w:tc>
          <w:tcPr>
            <w:tcW w:w="1134" w:type="dxa"/>
            <w:vAlign w:val="center"/>
          </w:tcPr>
          <w:p>
            <w:pPr>
              <w:pStyle w:val="13"/>
            </w:pPr>
            <w:r>
              <w:t>36.05</w:t>
            </w:r>
          </w:p>
        </w:tc>
        <w:tc>
          <w:tcPr>
            <w:tcW w:w="1134" w:type="dxa"/>
            <w:vAlign w:val="center"/>
          </w:tcPr>
          <w:p>
            <w:pPr>
              <w:pStyle w:val="13"/>
            </w:pPr>
            <w:r>
              <w:t>36.05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36.05</w:t>
            </w:r>
          </w:p>
        </w:tc>
        <w:tc>
          <w:tcPr>
            <w:tcW w:w="1134" w:type="dxa"/>
            <w:vAlign w:val="center"/>
          </w:tcPr>
          <w:p>
            <w:pPr>
              <w:pStyle w:val="13"/>
            </w:pPr>
            <w:r>
              <w:t>36.05</w:t>
            </w:r>
          </w:p>
        </w:tc>
        <w:tc>
          <w:tcPr>
            <w:tcW w:w="1134" w:type="dxa"/>
            <w:vAlign w:val="center"/>
          </w:tcPr>
          <w:p>
            <w:pPr>
              <w:pStyle w:val="13"/>
            </w:pPr>
            <w:r>
              <w:t>36.05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17.38</w:t>
            </w:r>
          </w:p>
        </w:tc>
        <w:tc>
          <w:tcPr>
            <w:tcW w:w="1134" w:type="dxa"/>
            <w:vAlign w:val="center"/>
          </w:tcPr>
          <w:p>
            <w:pPr>
              <w:pStyle w:val="13"/>
            </w:pPr>
            <w:r>
              <w:t>17.38</w:t>
            </w:r>
          </w:p>
        </w:tc>
        <w:tc>
          <w:tcPr>
            <w:tcW w:w="1134" w:type="dxa"/>
            <w:vAlign w:val="center"/>
          </w:tcPr>
          <w:p>
            <w:pPr>
              <w:pStyle w:val="13"/>
            </w:pPr>
            <w:r>
              <w:t>17.38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253.47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253.47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253.47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r>
              <w:t>36.99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1083.17</w:t>
            </w:r>
          </w:p>
        </w:tc>
        <w:tc>
          <w:tcPr>
            <w:tcW w:w="1361" w:type="dxa"/>
            <w:vAlign w:val="center"/>
          </w:tcPr>
          <w:p>
            <w:pPr>
              <w:pStyle w:val="17"/>
            </w:pPr>
            <w:r>
              <w:t>689.42</w:t>
            </w:r>
          </w:p>
        </w:tc>
        <w:tc>
          <w:tcPr>
            <w:tcW w:w="1361" w:type="dxa"/>
            <w:vAlign w:val="center"/>
          </w:tcPr>
          <w:p>
            <w:pPr>
              <w:pStyle w:val="17"/>
            </w:pPr>
            <w:r>
              <w:t>393.75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527.19</w:t>
            </w:r>
          </w:p>
        </w:tc>
        <w:tc>
          <w:tcPr>
            <w:tcW w:w="1361" w:type="dxa"/>
            <w:vAlign w:val="center"/>
          </w:tcPr>
          <w:p>
            <w:pPr>
              <w:pStyle w:val="13"/>
            </w:pPr>
            <w:r>
              <w:t>400.91</w:t>
            </w:r>
          </w:p>
        </w:tc>
        <w:tc>
          <w:tcPr>
            <w:tcW w:w="1361" w:type="dxa"/>
            <w:vAlign w:val="center"/>
          </w:tcPr>
          <w:p>
            <w:pPr>
              <w:pStyle w:val="13"/>
            </w:pPr>
            <w:r>
              <w:t>126.28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6" w:type="dxa"/>
            <w:vAlign w:val="center"/>
          </w:tcPr>
          <w:p>
            <w:pPr>
              <w:pStyle w:val="14"/>
            </w:pPr>
            <w:r>
              <w:t>商贸事务</w:t>
            </w:r>
          </w:p>
        </w:tc>
        <w:tc>
          <w:tcPr>
            <w:tcW w:w="1361" w:type="dxa"/>
            <w:vAlign w:val="center"/>
          </w:tcPr>
          <w:p>
            <w:pPr>
              <w:pStyle w:val="13"/>
            </w:pPr>
            <w:r>
              <w:t>527.19</w:t>
            </w:r>
          </w:p>
        </w:tc>
        <w:tc>
          <w:tcPr>
            <w:tcW w:w="1361" w:type="dxa"/>
            <w:vAlign w:val="center"/>
          </w:tcPr>
          <w:p>
            <w:pPr>
              <w:pStyle w:val="13"/>
            </w:pPr>
            <w:r>
              <w:t>400.91</w:t>
            </w:r>
          </w:p>
        </w:tc>
        <w:tc>
          <w:tcPr>
            <w:tcW w:w="1361" w:type="dxa"/>
            <w:vAlign w:val="center"/>
          </w:tcPr>
          <w:p>
            <w:pPr>
              <w:pStyle w:val="13"/>
            </w:pPr>
            <w:r>
              <w:t>126.28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2011301</w:t>
            </w:r>
          </w:p>
        </w:tc>
        <w:tc>
          <w:tcPr>
            <w:tcW w:w="4536" w:type="dxa"/>
            <w:vAlign w:val="center"/>
          </w:tcPr>
          <w:p>
            <w:pPr>
              <w:pStyle w:val="14"/>
            </w:pPr>
            <w:r>
              <w:t>行政运行</w:t>
            </w:r>
          </w:p>
        </w:tc>
        <w:tc>
          <w:tcPr>
            <w:tcW w:w="1361" w:type="dxa"/>
            <w:vAlign w:val="center"/>
          </w:tcPr>
          <w:p>
            <w:pPr>
              <w:pStyle w:val="13"/>
            </w:pPr>
            <w:r>
              <w:t>107.60</w:t>
            </w:r>
          </w:p>
        </w:tc>
        <w:tc>
          <w:tcPr>
            <w:tcW w:w="1361" w:type="dxa"/>
            <w:vAlign w:val="center"/>
          </w:tcPr>
          <w:p>
            <w:pPr>
              <w:pStyle w:val="13"/>
            </w:pPr>
            <w:r>
              <w:t>107.60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2011308</w:t>
            </w:r>
          </w:p>
        </w:tc>
        <w:tc>
          <w:tcPr>
            <w:tcW w:w="4536" w:type="dxa"/>
            <w:vAlign w:val="center"/>
          </w:tcPr>
          <w:p>
            <w:pPr>
              <w:pStyle w:val="14"/>
            </w:pPr>
            <w:r>
              <w:t>招商引资</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2011350</w:t>
            </w:r>
          </w:p>
        </w:tc>
        <w:tc>
          <w:tcPr>
            <w:tcW w:w="4536" w:type="dxa"/>
            <w:vAlign w:val="center"/>
          </w:tcPr>
          <w:p>
            <w:pPr>
              <w:pStyle w:val="14"/>
            </w:pPr>
            <w:r>
              <w:t>事业运行</w:t>
            </w:r>
          </w:p>
        </w:tc>
        <w:tc>
          <w:tcPr>
            <w:tcW w:w="1361" w:type="dxa"/>
            <w:vAlign w:val="center"/>
          </w:tcPr>
          <w:p>
            <w:pPr>
              <w:pStyle w:val="13"/>
            </w:pPr>
            <w:r>
              <w:t>293.31</w:t>
            </w:r>
          </w:p>
        </w:tc>
        <w:tc>
          <w:tcPr>
            <w:tcW w:w="1361" w:type="dxa"/>
            <w:vAlign w:val="center"/>
          </w:tcPr>
          <w:p>
            <w:pPr>
              <w:pStyle w:val="13"/>
            </w:pPr>
            <w:r>
              <w:t>293.31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2011399</w:t>
            </w:r>
          </w:p>
        </w:tc>
        <w:tc>
          <w:tcPr>
            <w:tcW w:w="4536" w:type="dxa"/>
            <w:vAlign w:val="center"/>
          </w:tcPr>
          <w:p>
            <w:pPr>
              <w:pStyle w:val="14"/>
            </w:pPr>
            <w:r>
              <w:t>其他商贸事务支出</w:t>
            </w:r>
          </w:p>
        </w:tc>
        <w:tc>
          <w:tcPr>
            <w:tcW w:w="1361" w:type="dxa"/>
            <w:vAlign w:val="center"/>
          </w:tcPr>
          <w:p>
            <w:pPr>
              <w:pStyle w:val="13"/>
            </w:pPr>
            <w:r>
              <w:t>116.28</w:t>
            </w:r>
          </w:p>
        </w:tc>
        <w:tc>
          <w:tcPr>
            <w:tcW w:w="1361" w:type="dxa"/>
            <w:vAlign w:val="center"/>
          </w:tcPr>
          <w:p>
            <w:pPr>
              <w:pStyle w:val="13"/>
            </w:pPr>
          </w:p>
        </w:tc>
        <w:tc>
          <w:tcPr>
            <w:tcW w:w="1361" w:type="dxa"/>
            <w:vAlign w:val="center"/>
          </w:tcPr>
          <w:p>
            <w:pPr>
              <w:pStyle w:val="13"/>
            </w:pPr>
            <w:r>
              <w:t>116.28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w:t>
            </w:r>
          </w:p>
        </w:tc>
        <w:tc>
          <w:tcPr>
            <w:tcW w:w="4536" w:type="dxa"/>
            <w:vAlign w:val="center"/>
          </w:tcPr>
          <w:p>
            <w:pPr>
              <w:pStyle w:val="14"/>
            </w:pPr>
            <w:r>
              <w:t>科学技术支出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6" w:type="dxa"/>
            <w:vAlign w:val="center"/>
          </w:tcPr>
          <w:p>
            <w:pPr>
              <w:pStyle w:val="14"/>
            </w:pPr>
            <w:r>
              <w:t>其他科学技术支出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6" w:type="dxa"/>
            <w:vAlign w:val="center"/>
          </w:tcPr>
          <w:p>
            <w:pPr>
              <w:pStyle w:val="14"/>
            </w:pPr>
            <w:r>
              <w:t>其他科学技术支出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215.47</w:t>
            </w:r>
          </w:p>
        </w:tc>
        <w:tc>
          <w:tcPr>
            <w:tcW w:w="1361" w:type="dxa"/>
            <w:vAlign w:val="center"/>
          </w:tcPr>
          <w:p>
            <w:pPr>
              <w:pStyle w:val="13"/>
            </w:pPr>
            <w:r>
              <w:t>215.47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212.61</w:t>
            </w:r>
          </w:p>
        </w:tc>
        <w:tc>
          <w:tcPr>
            <w:tcW w:w="1361" w:type="dxa"/>
            <w:vAlign w:val="center"/>
          </w:tcPr>
          <w:p>
            <w:pPr>
              <w:pStyle w:val="13"/>
            </w:pPr>
            <w:r>
              <w:t>212.61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90.91</w:t>
            </w:r>
          </w:p>
        </w:tc>
        <w:tc>
          <w:tcPr>
            <w:tcW w:w="1361" w:type="dxa"/>
            <w:vAlign w:val="center"/>
          </w:tcPr>
          <w:p>
            <w:pPr>
              <w:pStyle w:val="13"/>
            </w:pPr>
            <w:r>
              <w:t>90.91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53.54</w:t>
            </w:r>
          </w:p>
        </w:tc>
        <w:tc>
          <w:tcPr>
            <w:tcW w:w="1361" w:type="dxa"/>
            <w:vAlign w:val="center"/>
          </w:tcPr>
          <w:p>
            <w:pPr>
              <w:pStyle w:val="13"/>
            </w:pPr>
            <w:r>
              <w:t>53.54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49.53</w:t>
            </w:r>
          </w:p>
        </w:tc>
        <w:tc>
          <w:tcPr>
            <w:tcW w:w="1361" w:type="dxa"/>
            <w:vAlign w:val="center"/>
          </w:tcPr>
          <w:p>
            <w:pPr>
              <w:pStyle w:val="13"/>
            </w:pPr>
            <w:r>
              <w:t>49.53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18.63</w:t>
            </w:r>
          </w:p>
        </w:tc>
        <w:tc>
          <w:tcPr>
            <w:tcW w:w="1361" w:type="dxa"/>
            <w:vAlign w:val="center"/>
          </w:tcPr>
          <w:p>
            <w:pPr>
              <w:pStyle w:val="13"/>
            </w:pPr>
            <w:r>
              <w:t>18.63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20827</w:t>
            </w:r>
          </w:p>
        </w:tc>
        <w:tc>
          <w:tcPr>
            <w:tcW w:w="4536" w:type="dxa"/>
            <w:vAlign w:val="center"/>
          </w:tcPr>
          <w:p>
            <w:pPr>
              <w:pStyle w:val="14"/>
            </w:pPr>
            <w:r>
              <w:t>财政对其他社会保险基金的补助</w:t>
            </w:r>
          </w:p>
        </w:tc>
        <w:tc>
          <w:tcPr>
            <w:tcW w:w="1361" w:type="dxa"/>
            <w:vAlign w:val="center"/>
          </w:tcPr>
          <w:p>
            <w:pPr>
              <w:pStyle w:val="13"/>
            </w:pPr>
            <w:r>
              <w:t>2.86</w:t>
            </w:r>
          </w:p>
        </w:tc>
        <w:tc>
          <w:tcPr>
            <w:tcW w:w="1361" w:type="dxa"/>
            <w:vAlign w:val="center"/>
          </w:tcPr>
          <w:p>
            <w:pPr>
              <w:pStyle w:val="13"/>
            </w:pPr>
            <w:r>
              <w:t>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2082701</w:t>
            </w:r>
          </w:p>
        </w:tc>
        <w:tc>
          <w:tcPr>
            <w:tcW w:w="4536" w:type="dxa"/>
            <w:vAlign w:val="center"/>
          </w:tcPr>
          <w:p>
            <w:pPr>
              <w:pStyle w:val="14"/>
            </w:pPr>
            <w:r>
              <w:t>财政对失业保险基金的补助</w:t>
            </w:r>
          </w:p>
        </w:tc>
        <w:tc>
          <w:tcPr>
            <w:tcW w:w="1361" w:type="dxa"/>
            <w:vAlign w:val="center"/>
          </w:tcPr>
          <w:p>
            <w:pPr>
              <w:pStyle w:val="13"/>
            </w:pPr>
            <w:r>
              <w:t>1.46</w:t>
            </w:r>
          </w:p>
        </w:tc>
        <w:tc>
          <w:tcPr>
            <w:tcW w:w="1361" w:type="dxa"/>
            <w:vAlign w:val="center"/>
          </w:tcPr>
          <w:p>
            <w:pPr>
              <w:pStyle w:val="13"/>
            </w:pPr>
            <w:r>
              <w:t>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2082702</w:t>
            </w:r>
          </w:p>
        </w:tc>
        <w:tc>
          <w:tcPr>
            <w:tcW w:w="4536" w:type="dxa"/>
            <w:vAlign w:val="center"/>
          </w:tcPr>
          <w:p>
            <w:pPr>
              <w:pStyle w:val="14"/>
            </w:pPr>
            <w:r>
              <w:t>财政对工伤保险基金的补助</w:t>
            </w:r>
          </w:p>
        </w:tc>
        <w:tc>
          <w:tcPr>
            <w:tcW w:w="1361" w:type="dxa"/>
            <w:vAlign w:val="center"/>
          </w:tcPr>
          <w:p>
            <w:pPr>
              <w:pStyle w:val="13"/>
            </w:pPr>
            <w:r>
              <w:t>1.40</w:t>
            </w:r>
          </w:p>
        </w:tc>
        <w:tc>
          <w:tcPr>
            <w:tcW w:w="1361" w:type="dxa"/>
            <w:vAlign w:val="center"/>
          </w:tcPr>
          <w:p>
            <w:pPr>
              <w:pStyle w:val="13"/>
            </w:pPr>
            <w:r>
              <w:t>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36.05</w:t>
            </w:r>
          </w:p>
        </w:tc>
        <w:tc>
          <w:tcPr>
            <w:tcW w:w="1361" w:type="dxa"/>
            <w:vAlign w:val="center"/>
          </w:tcPr>
          <w:p>
            <w:pPr>
              <w:pStyle w:val="13"/>
            </w:pPr>
            <w:r>
              <w:t>36.05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36.05</w:t>
            </w:r>
          </w:p>
        </w:tc>
        <w:tc>
          <w:tcPr>
            <w:tcW w:w="1361" w:type="dxa"/>
            <w:vAlign w:val="center"/>
          </w:tcPr>
          <w:p>
            <w:pPr>
              <w:pStyle w:val="13"/>
            </w:pPr>
            <w:r>
              <w:t>36.05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17.38</w:t>
            </w:r>
          </w:p>
        </w:tc>
        <w:tc>
          <w:tcPr>
            <w:tcW w:w="1361" w:type="dxa"/>
            <w:vAlign w:val="center"/>
          </w:tcPr>
          <w:p>
            <w:pPr>
              <w:pStyle w:val="13"/>
            </w:pPr>
            <w:r>
              <w:t>17.38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216</w:t>
            </w:r>
          </w:p>
        </w:tc>
        <w:tc>
          <w:tcPr>
            <w:tcW w:w="4536" w:type="dxa"/>
            <w:vAlign w:val="center"/>
          </w:tcPr>
          <w:p>
            <w:pPr>
              <w:pStyle w:val="14"/>
            </w:pPr>
            <w:r>
              <w:t>商业服务业等支出</w:t>
            </w: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21602</w:t>
            </w:r>
          </w:p>
        </w:tc>
        <w:tc>
          <w:tcPr>
            <w:tcW w:w="4536" w:type="dxa"/>
            <w:vAlign w:val="center"/>
          </w:tcPr>
          <w:p>
            <w:pPr>
              <w:pStyle w:val="14"/>
            </w:pPr>
            <w:r>
              <w:t>商业流通事务</w:t>
            </w: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2160299</w:t>
            </w:r>
          </w:p>
        </w:tc>
        <w:tc>
          <w:tcPr>
            <w:tcW w:w="4536" w:type="dxa"/>
            <w:vAlign w:val="center"/>
          </w:tcPr>
          <w:p>
            <w:pPr>
              <w:pStyle w:val="14"/>
            </w:pPr>
            <w:r>
              <w:t>其他商业流通事务支出</w:t>
            </w: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r>
              <w:t>253.47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36.99</w:t>
            </w:r>
          </w:p>
        </w:tc>
        <w:tc>
          <w:tcPr>
            <w:tcW w:w="1361" w:type="dxa"/>
            <w:vAlign w:val="center"/>
          </w:tcPr>
          <w:p>
            <w:pPr>
              <w:pStyle w:val="13"/>
            </w:pPr>
            <w:r>
              <w:t>36.99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36.99</w:t>
            </w:r>
          </w:p>
        </w:tc>
        <w:tc>
          <w:tcPr>
            <w:tcW w:w="1361" w:type="dxa"/>
            <w:vAlign w:val="center"/>
          </w:tcPr>
          <w:p>
            <w:pPr>
              <w:pStyle w:val="13"/>
            </w:pPr>
            <w:r>
              <w:t>36.99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36.99</w:t>
            </w:r>
          </w:p>
        </w:tc>
        <w:tc>
          <w:tcPr>
            <w:tcW w:w="1361" w:type="dxa"/>
            <w:vAlign w:val="center"/>
          </w:tcPr>
          <w:p>
            <w:pPr>
              <w:pStyle w:val="13"/>
            </w:pPr>
            <w:r>
              <w:t>36.99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829.70</w:t>
            </w:r>
          </w:p>
        </w:tc>
        <w:tc>
          <w:tcPr>
            <w:tcW w:w="3402" w:type="dxa"/>
            <w:vAlign w:val="center"/>
          </w:tcPr>
          <w:p>
            <w:pPr>
              <w:pStyle w:val="14"/>
            </w:pPr>
            <w:r>
              <w:t>一、一般公共服务支出</w:t>
            </w:r>
          </w:p>
        </w:tc>
        <w:tc>
          <w:tcPr>
            <w:tcW w:w="1474" w:type="dxa"/>
            <w:vAlign w:val="center"/>
          </w:tcPr>
          <w:p>
            <w:pPr>
              <w:pStyle w:val="13"/>
            </w:pPr>
            <w:r>
              <w:t>527.19</w:t>
            </w:r>
          </w:p>
        </w:tc>
        <w:tc>
          <w:tcPr>
            <w:tcW w:w="1474" w:type="dxa"/>
            <w:vAlign w:val="center"/>
          </w:tcPr>
          <w:p>
            <w:pPr>
              <w:pStyle w:val="13"/>
            </w:pPr>
            <w:r>
              <w:t>527.19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14.00</w:t>
            </w:r>
          </w:p>
        </w:tc>
        <w:tc>
          <w:tcPr>
            <w:tcW w:w="1474" w:type="dxa"/>
            <w:vAlign w:val="center"/>
          </w:tcPr>
          <w:p>
            <w:pPr>
              <w:pStyle w:val="13"/>
            </w:pPr>
            <w:r>
              <w:t>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215.47</w:t>
            </w:r>
          </w:p>
        </w:tc>
        <w:tc>
          <w:tcPr>
            <w:tcW w:w="1474" w:type="dxa"/>
            <w:vAlign w:val="center"/>
          </w:tcPr>
          <w:p>
            <w:pPr>
              <w:pStyle w:val="13"/>
            </w:pPr>
            <w:r>
              <w:t>215.47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36.05</w:t>
            </w:r>
          </w:p>
        </w:tc>
        <w:tc>
          <w:tcPr>
            <w:tcW w:w="1474" w:type="dxa"/>
            <w:vAlign w:val="center"/>
          </w:tcPr>
          <w:p>
            <w:pPr>
              <w:pStyle w:val="13"/>
            </w:pPr>
            <w:r>
              <w:t>36.05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253.47</w:t>
            </w:r>
          </w:p>
        </w:tc>
        <w:tc>
          <w:tcPr>
            <w:tcW w:w="1474" w:type="dxa"/>
            <w:vAlign w:val="center"/>
          </w:tcPr>
          <w:p>
            <w:pPr>
              <w:pStyle w:val="13"/>
            </w:pPr>
            <w:r>
              <w:t>253.47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36.99</w:t>
            </w:r>
          </w:p>
        </w:tc>
        <w:tc>
          <w:tcPr>
            <w:tcW w:w="1474" w:type="dxa"/>
            <w:vAlign w:val="center"/>
          </w:tcPr>
          <w:p>
            <w:pPr>
              <w:pStyle w:val="13"/>
            </w:pPr>
            <w:r>
              <w:t>36.99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829.70</w:t>
            </w:r>
          </w:p>
        </w:tc>
        <w:tc>
          <w:tcPr>
            <w:tcW w:w="3402" w:type="dxa"/>
            <w:vAlign w:val="center"/>
          </w:tcPr>
          <w:p>
            <w:pPr>
              <w:pStyle w:val="16"/>
            </w:pPr>
            <w:r>
              <w:t>本年支出合计</w:t>
            </w:r>
          </w:p>
        </w:tc>
        <w:tc>
          <w:tcPr>
            <w:tcW w:w="1474" w:type="dxa"/>
            <w:vAlign w:val="center"/>
          </w:tcPr>
          <w:p>
            <w:pPr>
              <w:pStyle w:val="17"/>
            </w:pPr>
            <w:r>
              <w:t>1083.17</w:t>
            </w:r>
          </w:p>
        </w:tc>
        <w:tc>
          <w:tcPr>
            <w:tcW w:w="1474" w:type="dxa"/>
            <w:vAlign w:val="center"/>
          </w:tcPr>
          <w:p>
            <w:pPr>
              <w:pStyle w:val="17"/>
            </w:pPr>
            <w:r>
              <w:t>1083.17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253.47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253.47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1083.17</w:t>
            </w:r>
          </w:p>
        </w:tc>
        <w:tc>
          <w:tcPr>
            <w:tcW w:w="3402" w:type="dxa"/>
            <w:vAlign w:val="center"/>
          </w:tcPr>
          <w:p>
            <w:pPr>
              <w:pStyle w:val="16"/>
            </w:pPr>
            <w:r>
              <w:t>支出总计</w:t>
            </w:r>
          </w:p>
        </w:tc>
        <w:tc>
          <w:tcPr>
            <w:tcW w:w="1474" w:type="dxa"/>
            <w:vAlign w:val="center"/>
          </w:tcPr>
          <w:p>
            <w:pPr>
              <w:pStyle w:val="17"/>
            </w:pPr>
            <w:r>
              <w:t>1083.17</w:t>
            </w:r>
          </w:p>
        </w:tc>
        <w:tc>
          <w:tcPr>
            <w:tcW w:w="1474" w:type="dxa"/>
            <w:vAlign w:val="center"/>
          </w:tcPr>
          <w:p>
            <w:pPr>
              <w:pStyle w:val="17"/>
            </w:pPr>
            <w:r>
              <w:t>1083.17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1083.17</w:t>
            </w:r>
          </w:p>
        </w:tc>
        <w:tc>
          <w:tcPr>
            <w:tcW w:w="2551" w:type="dxa"/>
            <w:vAlign w:val="center"/>
          </w:tcPr>
          <w:p>
            <w:pPr>
              <w:pStyle w:val="17"/>
            </w:pPr>
            <w:r>
              <w:t>689.42</w:t>
            </w:r>
          </w:p>
        </w:tc>
        <w:tc>
          <w:tcPr>
            <w:tcW w:w="2551" w:type="dxa"/>
            <w:vAlign w:val="center"/>
          </w:tcPr>
          <w:p>
            <w:pPr>
              <w:pStyle w:val="17"/>
            </w:pPr>
            <w:r>
              <w:t>393.75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527.19</w:t>
            </w:r>
          </w:p>
        </w:tc>
        <w:tc>
          <w:tcPr>
            <w:tcW w:w="2551" w:type="dxa"/>
            <w:vAlign w:val="center"/>
          </w:tcPr>
          <w:p>
            <w:pPr>
              <w:pStyle w:val="13"/>
            </w:pPr>
            <w:r>
              <w:t>400.91</w:t>
            </w:r>
          </w:p>
        </w:tc>
        <w:tc>
          <w:tcPr>
            <w:tcW w:w="2551" w:type="dxa"/>
            <w:vAlign w:val="center"/>
          </w:tcPr>
          <w:p>
            <w:pPr>
              <w:pStyle w:val="13"/>
            </w:pPr>
            <w:r>
              <w:t>126.28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527.19</w:t>
            </w:r>
          </w:p>
        </w:tc>
        <w:tc>
          <w:tcPr>
            <w:tcW w:w="2551" w:type="dxa"/>
            <w:vAlign w:val="center"/>
          </w:tcPr>
          <w:p>
            <w:pPr>
              <w:pStyle w:val="13"/>
            </w:pPr>
            <w:r>
              <w:t>400.91</w:t>
            </w:r>
          </w:p>
        </w:tc>
        <w:tc>
          <w:tcPr>
            <w:tcW w:w="2551" w:type="dxa"/>
            <w:vAlign w:val="center"/>
          </w:tcPr>
          <w:p>
            <w:pPr>
              <w:pStyle w:val="13"/>
            </w:pPr>
            <w:r>
              <w:t>126.28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107.60</w:t>
            </w:r>
          </w:p>
        </w:tc>
        <w:tc>
          <w:tcPr>
            <w:tcW w:w="2551" w:type="dxa"/>
            <w:vAlign w:val="center"/>
          </w:tcPr>
          <w:p>
            <w:pPr>
              <w:pStyle w:val="13"/>
            </w:pPr>
            <w:r>
              <w:t>107.60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293.31</w:t>
            </w:r>
          </w:p>
        </w:tc>
        <w:tc>
          <w:tcPr>
            <w:tcW w:w="2551" w:type="dxa"/>
            <w:vAlign w:val="center"/>
          </w:tcPr>
          <w:p>
            <w:pPr>
              <w:pStyle w:val="13"/>
            </w:pPr>
            <w:r>
              <w:t>293.31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2011399</w:t>
            </w:r>
          </w:p>
        </w:tc>
        <w:tc>
          <w:tcPr>
            <w:tcW w:w="4535" w:type="dxa"/>
            <w:vAlign w:val="center"/>
          </w:tcPr>
          <w:p>
            <w:pPr>
              <w:pStyle w:val="14"/>
            </w:pPr>
            <w:r>
              <w:t>其他商贸事务支出</w:t>
            </w:r>
          </w:p>
        </w:tc>
        <w:tc>
          <w:tcPr>
            <w:tcW w:w="2551" w:type="dxa"/>
            <w:vAlign w:val="center"/>
          </w:tcPr>
          <w:p>
            <w:pPr>
              <w:pStyle w:val="13"/>
            </w:pPr>
            <w:r>
              <w:t>116.28</w:t>
            </w:r>
          </w:p>
        </w:tc>
        <w:tc>
          <w:tcPr>
            <w:tcW w:w="2551" w:type="dxa"/>
            <w:vAlign w:val="center"/>
          </w:tcPr>
          <w:p>
            <w:pPr>
              <w:pStyle w:val="13"/>
            </w:pPr>
          </w:p>
        </w:tc>
        <w:tc>
          <w:tcPr>
            <w:tcW w:w="2551" w:type="dxa"/>
            <w:vAlign w:val="center"/>
          </w:tcPr>
          <w:p>
            <w:pPr>
              <w:pStyle w:val="13"/>
            </w:pPr>
            <w:r>
              <w:t>116.28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215.47</w:t>
            </w:r>
          </w:p>
        </w:tc>
        <w:tc>
          <w:tcPr>
            <w:tcW w:w="2551" w:type="dxa"/>
            <w:vAlign w:val="center"/>
          </w:tcPr>
          <w:p>
            <w:pPr>
              <w:pStyle w:val="13"/>
            </w:pPr>
            <w:r>
              <w:t>215.47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212.61</w:t>
            </w:r>
          </w:p>
        </w:tc>
        <w:tc>
          <w:tcPr>
            <w:tcW w:w="2551" w:type="dxa"/>
            <w:vAlign w:val="center"/>
          </w:tcPr>
          <w:p>
            <w:pPr>
              <w:pStyle w:val="13"/>
            </w:pPr>
            <w:r>
              <w:t>212.61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90.91</w:t>
            </w:r>
          </w:p>
        </w:tc>
        <w:tc>
          <w:tcPr>
            <w:tcW w:w="2551" w:type="dxa"/>
            <w:vAlign w:val="center"/>
          </w:tcPr>
          <w:p>
            <w:pPr>
              <w:pStyle w:val="13"/>
            </w:pPr>
            <w:r>
              <w:t>90.91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53.54</w:t>
            </w:r>
          </w:p>
        </w:tc>
        <w:tc>
          <w:tcPr>
            <w:tcW w:w="2551" w:type="dxa"/>
            <w:vAlign w:val="center"/>
          </w:tcPr>
          <w:p>
            <w:pPr>
              <w:pStyle w:val="13"/>
            </w:pPr>
            <w:r>
              <w:t>53.54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49.53</w:t>
            </w:r>
          </w:p>
        </w:tc>
        <w:tc>
          <w:tcPr>
            <w:tcW w:w="2551" w:type="dxa"/>
            <w:vAlign w:val="center"/>
          </w:tcPr>
          <w:p>
            <w:pPr>
              <w:pStyle w:val="13"/>
            </w:pPr>
            <w:r>
              <w:t>49.53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18.63</w:t>
            </w:r>
          </w:p>
        </w:tc>
        <w:tc>
          <w:tcPr>
            <w:tcW w:w="2551" w:type="dxa"/>
            <w:vAlign w:val="center"/>
          </w:tcPr>
          <w:p>
            <w:pPr>
              <w:pStyle w:val="13"/>
            </w:pPr>
            <w:r>
              <w:t>18.63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2.86</w:t>
            </w:r>
          </w:p>
        </w:tc>
        <w:tc>
          <w:tcPr>
            <w:tcW w:w="2551" w:type="dxa"/>
            <w:vAlign w:val="center"/>
          </w:tcPr>
          <w:p>
            <w:pPr>
              <w:pStyle w:val="13"/>
            </w:pPr>
            <w:r>
              <w:t>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1.46</w:t>
            </w:r>
          </w:p>
        </w:tc>
        <w:tc>
          <w:tcPr>
            <w:tcW w:w="2551" w:type="dxa"/>
            <w:vAlign w:val="center"/>
          </w:tcPr>
          <w:p>
            <w:pPr>
              <w:pStyle w:val="13"/>
            </w:pPr>
            <w:r>
              <w:t>1.46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1.40</w:t>
            </w:r>
          </w:p>
        </w:tc>
        <w:tc>
          <w:tcPr>
            <w:tcW w:w="2551" w:type="dxa"/>
            <w:vAlign w:val="center"/>
          </w:tcPr>
          <w:p>
            <w:pPr>
              <w:pStyle w:val="13"/>
            </w:pPr>
            <w:r>
              <w:t>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36.05</w:t>
            </w:r>
          </w:p>
        </w:tc>
        <w:tc>
          <w:tcPr>
            <w:tcW w:w="2551" w:type="dxa"/>
            <w:vAlign w:val="center"/>
          </w:tcPr>
          <w:p>
            <w:pPr>
              <w:pStyle w:val="13"/>
            </w:pPr>
            <w:r>
              <w:t>36.05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4.91</w:t>
            </w:r>
          </w:p>
        </w:tc>
        <w:tc>
          <w:tcPr>
            <w:tcW w:w="2551" w:type="dxa"/>
            <w:vAlign w:val="center"/>
          </w:tcPr>
          <w:p>
            <w:pPr>
              <w:pStyle w:val="13"/>
            </w:pPr>
            <w:r>
              <w:t>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17.38</w:t>
            </w:r>
          </w:p>
        </w:tc>
        <w:tc>
          <w:tcPr>
            <w:tcW w:w="2551" w:type="dxa"/>
            <w:vAlign w:val="center"/>
          </w:tcPr>
          <w:p>
            <w:pPr>
              <w:pStyle w:val="13"/>
            </w:pPr>
            <w:r>
              <w:t>17.38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253.47</w:t>
            </w:r>
          </w:p>
        </w:tc>
        <w:tc>
          <w:tcPr>
            <w:tcW w:w="2551" w:type="dxa"/>
            <w:vAlign w:val="center"/>
          </w:tcPr>
          <w:p>
            <w:pPr>
              <w:pStyle w:val="13"/>
            </w:pPr>
          </w:p>
        </w:tc>
        <w:tc>
          <w:tcPr>
            <w:tcW w:w="2551"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253.47</w:t>
            </w:r>
          </w:p>
        </w:tc>
        <w:tc>
          <w:tcPr>
            <w:tcW w:w="2551" w:type="dxa"/>
            <w:vAlign w:val="center"/>
          </w:tcPr>
          <w:p>
            <w:pPr>
              <w:pStyle w:val="13"/>
            </w:pPr>
          </w:p>
        </w:tc>
        <w:tc>
          <w:tcPr>
            <w:tcW w:w="2551"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253.47</w:t>
            </w:r>
          </w:p>
        </w:tc>
        <w:tc>
          <w:tcPr>
            <w:tcW w:w="2551" w:type="dxa"/>
            <w:vAlign w:val="center"/>
          </w:tcPr>
          <w:p>
            <w:pPr>
              <w:pStyle w:val="13"/>
            </w:pPr>
          </w:p>
        </w:tc>
        <w:tc>
          <w:tcPr>
            <w:tcW w:w="2551" w:type="dxa"/>
            <w:vAlign w:val="center"/>
          </w:tcPr>
          <w:p>
            <w:pPr>
              <w:pStyle w:val="13"/>
            </w:pPr>
            <w:r>
              <w:t>253.47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36.99</w:t>
            </w:r>
          </w:p>
        </w:tc>
        <w:tc>
          <w:tcPr>
            <w:tcW w:w="2551" w:type="dxa"/>
            <w:vAlign w:val="center"/>
          </w:tcPr>
          <w:p>
            <w:pPr>
              <w:pStyle w:val="13"/>
            </w:pPr>
            <w:r>
              <w:t>36.99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36.99</w:t>
            </w:r>
          </w:p>
        </w:tc>
        <w:tc>
          <w:tcPr>
            <w:tcW w:w="2551" w:type="dxa"/>
            <w:vAlign w:val="center"/>
          </w:tcPr>
          <w:p>
            <w:pPr>
              <w:pStyle w:val="13"/>
            </w:pPr>
            <w:r>
              <w:t>36.99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36.99</w:t>
            </w:r>
          </w:p>
        </w:tc>
        <w:tc>
          <w:tcPr>
            <w:tcW w:w="2551" w:type="dxa"/>
            <w:vAlign w:val="center"/>
          </w:tcPr>
          <w:p>
            <w:pPr>
              <w:pStyle w:val="13"/>
            </w:pPr>
            <w:r>
              <w:t>36.99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689.42</w:t>
            </w:r>
          </w:p>
        </w:tc>
        <w:tc>
          <w:tcPr>
            <w:tcW w:w="2551" w:type="dxa"/>
            <w:vAlign w:val="center"/>
          </w:tcPr>
          <w:p>
            <w:pPr>
              <w:pStyle w:val="17"/>
            </w:pPr>
            <w:r>
              <w:t>669.07</w:t>
            </w:r>
          </w:p>
        </w:tc>
        <w:tc>
          <w:tcPr>
            <w:tcW w:w="2552" w:type="dxa"/>
            <w:vAlign w:val="center"/>
          </w:tcPr>
          <w:p>
            <w:pPr>
              <w:pStyle w:val="17"/>
            </w:pPr>
            <w:r>
              <w:t>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524.62</w:t>
            </w:r>
          </w:p>
        </w:tc>
        <w:tc>
          <w:tcPr>
            <w:tcW w:w="2551" w:type="dxa"/>
            <w:vAlign w:val="center"/>
          </w:tcPr>
          <w:p>
            <w:pPr>
              <w:pStyle w:val="13"/>
            </w:pPr>
            <w:r>
              <w:t>524.62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200.66</w:t>
            </w:r>
          </w:p>
        </w:tc>
        <w:tc>
          <w:tcPr>
            <w:tcW w:w="2551" w:type="dxa"/>
            <w:vAlign w:val="center"/>
          </w:tcPr>
          <w:p>
            <w:pPr>
              <w:pStyle w:val="13"/>
            </w:pPr>
            <w:r>
              <w:t>200.66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69.27</w:t>
            </w:r>
          </w:p>
        </w:tc>
        <w:tc>
          <w:tcPr>
            <w:tcW w:w="2551" w:type="dxa"/>
            <w:vAlign w:val="center"/>
          </w:tcPr>
          <w:p>
            <w:pPr>
              <w:pStyle w:val="13"/>
            </w:pPr>
            <w:r>
              <w:t>69.27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15.30</w:t>
            </w:r>
          </w:p>
        </w:tc>
        <w:tc>
          <w:tcPr>
            <w:tcW w:w="2551" w:type="dxa"/>
            <w:vAlign w:val="center"/>
          </w:tcPr>
          <w:p>
            <w:pPr>
              <w:pStyle w:val="13"/>
            </w:pPr>
            <w:r>
              <w:t>15.30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95.33</w:t>
            </w:r>
          </w:p>
        </w:tc>
        <w:tc>
          <w:tcPr>
            <w:tcW w:w="2551" w:type="dxa"/>
            <w:vAlign w:val="center"/>
          </w:tcPr>
          <w:p>
            <w:pPr>
              <w:pStyle w:val="13"/>
            </w:pPr>
            <w:r>
              <w:t>95.33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49.53</w:t>
            </w:r>
          </w:p>
        </w:tc>
        <w:tc>
          <w:tcPr>
            <w:tcW w:w="2551" w:type="dxa"/>
            <w:vAlign w:val="center"/>
          </w:tcPr>
          <w:p>
            <w:pPr>
              <w:pStyle w:val="13"/>
            </w:pPr>
            <w:r>
              <w:t>49.53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18.63</w:t>
            </w:r>
          </w:p>
        </w:tc>
        <w:tc>
          <w:tcPr>
            <w:tcW w:w="2551" w:type="dxa"/>
            <w:vAlign w:val="center"/>
          </w:tcPr>
          <w:p>
            <w:pPr>
              <w:pStyle w:val="13"/>
            </w:pPr>
            <w:r>
              <w:t>18.63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22.29</w:t>
            </w:r>
          </w:p>
        </w:tc>
        <w:tc>
          <w:tcPr>
            <w:tcW w:w="2551" w:type="dxa"/>
            <w:vAlign w:val="center"/>
          </w:tcPr>
          <w:p>
            <w:pPr>
              <w:pStyle w:val="13"/>
            </w:pPr>
            <w:r>
              <w:t>22.29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13.76</w:t>
            </w:r>
          </w:p>
        </w:tc>
        <w:tc>
          <w:tcPr>
            <w:tcW w:w="2551" w:type="dxa"/>
            <w:vAlign w:val="center"/>
          </w:tcPr>
          <w:p>
            <w:pPr>
              <w:pStyle w:val="13"/>
            </w:pPr>
            <w:r>
              <w:t>13.76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2.86</w:t>
            </w:r>
          </w:p>
        </w:tc>
        <w:tc>
          <w:tcPr>
            <w:tcW w:w="2551" w:type="dxa"/>
            <w:vAlign w:val="center"/>
          </w:tcPr>
          <w:p>
            <w:pPr>
              <w:pStyle w:val="13"/>
            </w:pPr>
            <w:r>
              <w:t>2.86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36.99</w:t>
            </w:r>
          </w:p>
        </w:tc>
        <w:tc>
          <w:tcPr>
            <w:tcW w:w="2551" w:type="dxa"/>
            <w:vAlign w:val="center"/>
          </w:tcPr>
          <w:p>
            <w:pPr>
              <w:pStyle w:val="13"/>
            </w:pPr>
            <w:r>
              <w:t>36.99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20.35</w:t>
            </w:r>
          </w:p>
        </w:tc>
        <w:tc>
          <w:tcPr>
            <w:tcW w:w="2551" w:type="dxa"/>
            <w:vAlign w:val="center"/>
          </w:tcPr>
          <w:p>
            <w:pPr>
              <w:pStyle w:val="13"/>
            </w:pPr>
          </w:p>
        </w:tc>
        <w:tc>
          <w:tcPr>
            <w:tcW w:w="2552" w:type="dxa"/>
            <w:vAlign w:val="center"/>
          </w:tcPr>
          <w:p>
            <w:pPr>
              <w:pStyle w:val="13"/>
            </w:pPr>
            <w:r>
              <w:t>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0.86</w:t>
            </w:r>
          </w:p>
        </w:tc>
        <w:tc>
          <w:tcPr>
            <w:tcW w:w="2551" w:type="dxa"/>
            <w:vAlign w:val="center"/>
          </w:tcPr>
          <w:p>
            <w:pPr>
              <w:pStyle w:val="13"/>
            </w:pPr>
          </w:p>
        </w:tc>
        <w:tc>
          <w:tcPr>
            <w:tcW w:w="2552" w:type="dxa"/>
            <w:vAlign w:val="center"/>
          </w:tcPr>
          <w:p>
            <w:pPr>
              <w:pStyle w:val="13"/>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3.44</w:t>
            </w:r>
          </w:p>
        </w:tc>
        <w:tc>
          <w:tcPr>
            <w:tcW w:w="2551" w:type="dxa"/>
            <w:vAlign w:val="center"/>
          </w:tcPr>
          <w:p>
            <w:pPr>
              <w:pStyle w:val="13"/>
            </w:pPr>
          </w:p>
        </w:tc>
        <w:tc>
          <w:tcPr>
            <w:tcW w:w="2552" w:type="dxa"/>
            <w:vAlign w:val="center"/>
          </w:tcPr>
          <w:p>
            <w:pPr>
              <w:pStyle w:val="13"/>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0.44</w:t>
            </w:r>
          </w:p>
        </w:tc>
        <w:tc>
          <w:tcPr>
            <w:tcW w:w="2551" w:type="dxa"/>
            <w:vAlign w:val="center"/>
          </w:tcPr>
          <w:p>
            <w:pPr>
              <w:pStyle w:val="13"/>
            </w:pPr>
          </w:p>
        </w:tc>
        <w:tc>
          <w:tcPr>
            <w:tcW w:w="2552"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3.14</w:t>
            </w:r>
          </w:p>
        </w:tc>
        <w:tc>
          <w:tcPr>
            <w:tcW w:w="2551" w:type="dxa"/>
            <w:vAlign w:val="center"/>
          </w:tcPr>
          <w:p>
            <w:pPr>
              <w:pStyle w:val="13"/>
            </w:pPr>
          </w:p>
        </w:tc>
        <w:tc>
          <w:tcPr>
            <w:tcW w:w="2552" w:type="dxa"/>
            <w:vAlign w:val="center"/>
          </w:tcPr>
          <w:p>
            <w:pPr>
              <w:pStyle w:val="13"/>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5.25</w:t>
            </w:r>
          </w:p>
        </w:tc>
        <w:tc>
          <w:tcPr>
            <w:tcW w:w="2551" w:type="dxa"/>
            <w:vAlign w:val="center"/>
          </w:tcPr>
          <w:p>
            <w:pPr>
              <w:pStyle w:val="13"/>
            </w:pPr>
          </w:p>
        </w:tc>
        <w:tc>
          <w:tcPr>
            <w:tcW w:w="2552" w:type="dxa"/>
            <w:vAlign w:val="center"/>
          </w:tcPr>
          <w:p>
            <w:pPr>
              <w:pStyle w:val="13"/>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7.02</w:t>
            </w:r>
          </w:p>
        </w:tc>
        <w:tc>
          <w:tcPr>
            <w:tcW w:w="2551" w:type="dxa"/>
            <w:vAlign w:val="center"/>
          </w:tcPr>
          <w:p>
            <w:pPr>
              <w:pStyle w:val="13"/>
            </w:pPr>
          </w:p>
        </w:tc>
        <w:tc>
          <w:tcPr>
            <w:tcW w:w="2552" w:type="dxa"/>
            <w:vAlign w:val="center"/>
          </w:tcPr>
          <w:p>
            <w:pPr>
              <w:pStyle w:val="13"/>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144.45</w:t>
            </w:r>
          </w:p>
        </w:tc>
        <w:tc>
          <w:tcPr>
            <w:tcW w:w="2551" w:type="dxa"/>
            <w:vAlign w:val="center"/>
          </w:tcPr>
          <w:p>
            <w:pPr>
              <w:pStyle w:val="13"/>
            </w:pPr>
            <w:r>
              <w:t>144.45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144.45</w:t>
            </w:r>
          </w:p>
        </w:tc>
        <w:tc>
          <w:tcPr>
            <w:tcW w:w="2551" w:type="dxa"/>
            <w:vAlign w:val="center"/>
          </w:tcPr>
          <w:p>
            <w:pPr>
              <w:pStyle w:val="13"/>
            </w:pPr>
            <w:r>
              <w:t>144.45</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322曲阳县商务局</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曲阳县商务局2024年部门预算信息公开情况说明</w:t>
      </w:r>
    </w:p>
    <w:p>
      <w:pPr>
        <w:jc w:val="center"/>
      </w:pPr>
      <w:r>
        <w:rPr>
          <w:rFonts w:ascii="方正小标宋_GBK" w:hAnsi="方正小标宋_GBK" w:eastAsia="方正小标宋_GBK" w:cs="方正小标宋_GBK"/>
          <w:color w:val="000000"/>
          <w:sz w:val="44"/>
        </w:rPr>
        <w:t>曲阳县商务局2024年部门预算信息公开情况说明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按照《中华人民共和国预算法》、《地方预决算公开操作规程》和《关于进一步推进预算公开工作的实施意见》规定，现将曲阳县商务局2024年部门预算公开如下：</w:t>
      </w:r>
    </w:p>
    <w:p>
      <w:pPr>
        <w:spacing w:before="10" w:after="10" w:line="360" w:lineRule="auto"/>
        <w:ind w:firstLine="640"/>
        <w:outlineLvl w:val="2"/>
      </w:pPr>
      <w:bookmarkStart w:id="9" w:name="_Toc160200706"/>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负责政务值班、公文处理、会务、机要等机关日常工作的运转协调；承担督查督办、制度建设、档案、保密、政府信息公开、安全生产和职业健康、保卫等工作；负责局机关及所属单位的信访稳定工作。承担机关和所属单位的人事管理、机构编制、队伍建设和教育培训等工作；负责机关和所属单位临时出国（境）人员政治审查等工作。</w:t>
      </w:r>
    </w:p>
    <w:p>
      <w:pPr>
        <w:pStyle w:val="19"/>
      </w:pPr>
      <w:r>
        <w:t xml:space="preserve">负责局机关及下属单位干部人员管理、培训、奖惩、任免工作和目标考核工作；负责局机关及下属单位人员工资编报和劳动保险、社会保障工作、计划生育工作。监督局机关财务使用情况和直属单位内部审计工作。负责局机关及下属单位基建项目资金的计划审查和申报工作；负责局机关行政财务预算、决算的编报及经费管理工作，指导、监督直属单位的财务收支状况； </w:t>
      </w:r>
    </w:p>
    <w:p>
      <w:pPr>
        <w:pStyle w:val="19"/>
        <w:rPr>
          <w:rFonts w:hint="eastAsia"/>
          <w:lang w:val="uk-UA" w:eastAsia="zh-CN"/>
        </w:rPr>
      </w:pPr>
      <w:r>
        <w:t>负责提出年度和阶段性商务工作安排建议；研究起草综合性文件；承担商务综合分析和政务信息工作；承担对外开放、现代市场体系等方面的前瞻性研究和重大商务课题调研的协调工作；参与重要会议组织并承担会议材料准备工作;负责商务政策、法律、法规、规章的研究和组织实施；负责组织起草我县商务地方性法规、政府规章草案，推进普法工作，指导、监督全县商务行政执法工作，负责局机关规范性文件的合法性审查、备案；承办行政复议、行政诉讼；指导、协调外商投诉服务体系建设，受理、处理、协调、转办、督办外商投诉案件；指导、协调涉外企业境外维权，为企业提供政策法律咨询及相关服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曲阳县商务局本级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outlineLvl w:val="2"/>
      </w:pPr>
      <w:bookmarkStart w:id="10" w:name="_Toc160200707"/>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按照预算管理有关规定，目前部门预算的编制实行综合预算管理，即全部收入和支出都反映在预算中。曲阳县商务局机关及所属事业单位的收支包含在部门预算中。</w:t>
      </w:r>
    </w:p>
    <w:p>
      <w:pPr>
        <w:pStyle w:val="20"/>
      </w:pPr>
      <w:r>
        <w:t>1、收入说明</w:t>
      </w:r>
    </w:p>
    <w:p>
      <w:pPr>
        <w:pStyle w:val="20"/>
      </w:pPr>
      <w:r>
        <w:t>反映本部门当年全部收入。2024年预算收入1083.17万元，其中：一般公共预算收入829.70万元，基金预算收入0.00万元，国有资本经营预算收入0.00万元，财政专户核拨收入0.00万元，单位资金收入0.00万元，上年结转结余253.47万元。</w:t>
      </w:r>
    </w:p>
    <w:p>
      <w:pPr>
        <w:pStyle w:val="20"/>
      </w:pPr>
      <w:r>
        <w:t>2、支出说明</w:t>
      </w:r>
    </w:p>
    <w:p>
      <w:pPr>
        <w:pStyle w:val="20"/>
      </w:pPr>
      <w:r>
        <w:t>收支预算总表支出栏、基本支出表、项目支出表按经济分类和支出功能分类科目编制，反映曲阳县商务局年度部门预算中支出预算的总体情况。2024年支出预算1083.17万元，其中基本支出689.42万元，包括人员经费669.07万元和日常公用经费20.35万元；项目支出393.75万元，主要为曲阳县电子商务“农村淘宝”项目资金14万元、打击“黑加油站点”和非法报废汽车回收拆解整治工作经费资金20万元、曲阳县扩大外贸出口服务经费项目资金10万元、潮悦里运营经费项目50万元、曲阳县招商引资经费项目10万元、曲阳县商务局劳务派遣人员项目11.4万元、商务局公益岗人员经费24.88万元、曲阳县服务业发展资金253.47万元。</w:t>
      </w:r>
    </w:p>
    <w:p>
      <w:pPr>
        <w:pStyle w:val="20"/>
      </w:pPr>
      <w:r>
        <w:t>3、比上年增减情况</w:t>
      </w:r>
    </w:p>
    <w:p>
      <w:pPr>
        <w:pStyle w:val="20"/>
      </w:pPr>
      <w:r>
        <w:t>2024年预算收支安排1083.17万元，较2023年预算减少423.51万元，其中：基本支出增加47.24万元，主要为增加人员经费支出43.49万元，公用经费3.75万元</w:t>
      </w:r>
      <w:r>
        <w:rPr>
          <w:rFonts w:hint="eastAsia"/>
          <w:lang w:eastAsia="zh-CN"/>
        </w:rPr>
        <w:t>（调入井宏立、张现亮、刘均儒三人）</w:t>
      </w:r>
      <w:r>
        <w:t>。项目支出减少47</w:t>
      </w:r>
      <w:r>
        <w:rPr>
          <w:rFonts w:hint="eastAsia"/>
          <w:lang w:eastAsia="zh-CN"/>
        </w:rPr>
        <w:t>5</w:t>
      </w:r>
      <w:r>
        <w:t>.75万元，主要为</w:t>
      </w:r>
      <w:r>
        <w:rPr>
          <w:rFonts w:hint="eastAsia"/>
          <w:lang w:eastAsia="zh-CN"/>
        </w:rPr>
        <w:t>潮悦里增加50万元，公益岗人员经费增加15.15万元，劳务派遣人员经费增加0.63万元，</w:t>
      </w:r>
      <w:r>
        <w:t>2023年中央服务业发展项目资金减少</w:t>
      </w:r>
      <w:r>
        <w:rPr>
          <w:rFonts w:hint="eastAsia"/>
          <w:lang w:eastAsia="zh-CN"/>
        </w:rPr>
        <w:t>506.</w:t>
      </w:r>
      <w:r>
        <w:t>53万元、打击“黑加油站点”和非法报废汽车回收拆解整治工作经费资金减少4万元、打击“黑加油站点”和曲阳县促进家电消费暨家电依旧换新资金项目（2022年）减少16万元、商贸流通企业数据直报补贴减少5万元、外贸专项资金（专项）项目减少10万元等。</w:t>
      </w:r>
    </w:p>
    <w:p>
      <w:pPr>
        <w:spacing w:before="10" w:after="10" w:line="360" w:lineRule="auto"/>
        <w:ind w:firstLine="640"/>
        <w:outlineLvl w:val="2"/>
      </w:pPr>
      <w:bookmarkStart w:id="11" w:name="_Toc160200708"/>
      <w:r>
        <w:rPr>
          <w:rFonts w:ascii="黑体" w:hAnsi="黑体" w:eastAsia="黑体" w:cs="黑体"/>
          <w:color w:val="000000"/>
          <w:sz w:val="32"/>
        </w:rPr>
        <w:t>三、机关运行经费安排情况</w:t>
      </w:r>
      <w:bookmarkEnd w:id="11"/>
    </w:p>
    <w:p>
      <w:pPr>
        <w:pStyle w:val="21"/>
      </w:pPr>
      <w:r>
        <w:t>2024年，我部门机关运行经费共计安排20.35万元，主要用于日常维修、办公用房水电费、办公用房取暖费、办公用房物业管理费等日常运行支出。</w:t>
      </w:r>
    </w:p>
    <w:p>
      <w:pPr>
        <w:spacing w:before="10" w:after="10" w:line="360" w:lineRule="auto"/>
        <w:ind w:firstLine="640"/>
        <w:outlineLvl w:val="2"/>
      </w:pPr>
      <w:bookmarkStart w:id="12" w:name="_Toc160200709"/>
      <w:r>
        <w:rPr>
          <w:rFonts w:ascii="黑体" w:hAnsi="黑体" w:eastAsia="黑体" w:cs="黑体"/>
          <w:color w:val="000000"/>
          <w:sz w:val="32"/>
        </w:rPr>
        <w:t>四、财政拨款“三公”经费预算情况及增减变化原因</w:t>
      </w:r>
      <w:bookmarkEnd w:id="12"/>
    </w:p>
    <w:p>
      <w:pPr>
        <w:pStyle w:val="22"/>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line="360" w:lineRule="auto"/>
        <w:ind w:firstLine="640"/>
        <w:outlineLvl w:val="2"/>
      </w:pPr>
      <w:bookmarkStart w:id="13" w:name="_Toc160200710"/>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曲阳县商务局承担贯彻落实国家有关内外贸易、国际经济合作的发展战略、方针、政策；拟订全县相应的发展规划以及规定、办法和措施;研究经济全球化、区域经济合作、现代流通方式的发展趋势并提出建议。推进商务领域信用体系建设，规范商贸企业交易行为，协调推动重要产品追溯体系建设;按有关规定对特殊流通行业进行监督管理。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和商贸企业节能减排等绿色流通工作。</w:t>
      </w:r>
    </w:p>
    <w:p>
      <w:pPr>
        <w:spacing w:line="500" w:lineRule="exact"/>
        <w:ind w:firstLine="560"/>
      </w:pPr>
      <w:r>
        <w:rPr>
          <w:rFonts w:eastAsia="方正仿宋_GBK"/>
          <w:color w:val="000000"/>
          <w:sz w:val="28"/>
        </w:rPr>
        <w:t>（二）分项绩效目标</w:t>
      </w:r>
    </w:p>
    <w:p>
      <w:pPr>
        <w:pStyle w:val="24"/>
      </w:pPr>
      <w:r>
        <w:t>2024年，商务局将加强对内商贸管理，推进农村市场体系建设，推动流通标准化和现代流通方式的发展。加强行业管理，保障市场规范。</w:t>
      </w:r>
    </w:p>
    <w:p>
      <w:pPr>
        <w:pStyle w:val="24"/>
      </w:pPr>
      <w:r>
        <w:t>1、对内商贸管理</w:t>
      </w:r>
    </w:p>
    <w:p>
      <w:pPr>
        <w:pStyle w:val="24"/>
      </w:pPr>
      <w:r>
        <w:t>农村电子商务建设工作，支持农村电子商务基础设施建设，完善服务体系。通过县级电商公共服务中心，帮助企业推进农产品线上品牌化建设，着力筛选有潜力、有规模、有市场、有故事的特色农产品，建立本地线上农产品资源库，加大品牌化包装和宣传造势，提高特色农产品知名度。扩大线上销售规模，进一步引导和鼓励本地产业龙头企业、特色农产品经销商自建平台或在第三方电商平台开设旗舰店，拓展电商销售渠道。</w:t>
      </w:r>
    </w:p>
    <w:p>
      <w:pPr>
        <w:pStyle w:val="24"/>
      </w:pPr>
      <w:r>
        <w:t>2、行业管理</w:t>
      </w:r>
    </w:p>
    <w:p>
      <w:pPr>
        <w:pStyle w:val="24"/>
      </w:pPr>
      <w:r>
        <w:t>规范成品油经营市场和非法报废汽车回收拆解整治，加大执法力度，从严整治。一是通过拉网式大检查，对那些无证无照、违规违法经营的黑加油站窝点，协同公安、工商、安监等相关部门一道，强行予以取缔。二是对那些具有一定规模，并达到规定条件的经营企业，在停业整顿的同时，积极帮助补办相关手续，完善经营制度。三是采取各种方式，大力宣传有关成品油经营的法律法规，教育引导经营企业，安规操作，依法经营，消除一切安全隐患。四是采取疏堵相结合的方式进行管理成品油行业，同时成立曲阳县成品油管理协会，让企业自我规范经营行为，不断完善成品油经营市场新秩序。加强我县报废机动车回收拆解市场管理，规范报废机动车回收拆解。</w:t>
      </w:r>
    </w:p>
    <w:p>
      <w:pPr>
        <w:pStyle w:val="24"/>
      </w:pPr>
    </w:p>
    <w:p>
      <w:pPr>
        <w:spacing w:line="500" w:lineRule="exact"/>
        <w:ind w:firstLine="560"/>
      </w:pPr>
      <w:r>
        <w:rPr>
          <w:rFonts w:eastAsia="方正仿宋_GBK"/>
          <w:color w:val="000000"/>
          <w:sz w:val="28"/>
        </w:rPr>
        <w:t>（三）工作保障措施</w:t>
      </w:r>
    </w:p>
    <w:p>
      <w:pPr>
        <w:pStyle w:val="25"/>
      </w:pPr>
      <w:r>
        <w:t>1、多措并举、开展加油站整治。</w:t>
      </w:r>
    </w:p>
    <w:p>
      <w:pPr>
        <w:pStyle w:val="25"/>
      </w:pPr>
      <w:r>
        <w:t>一是高度重视，积极部署。成立了以党组成员、县长助理阮顺怀为组长的成品油专项整治工作领导小组，领导小组下设办公室，领导小组全面负责整治工作实施和督导。</w:t>
      </w:r>
    </w:p>
    <w:p>
      <w:pPr>
        <w:pStyle w:val="25"/>
      </w:pPr>
      <w:r>
        <w:t>二是广泛宣传，营造氛围。首先耐心做思想工作。为保障此次整治行动顺利开展，执法人员首先对违规经营摊点做了深入细致的思想工作，敦促其 自行拆除加油设备，主动关停经营业务。其次出动广播宣传车。在我县各乡镇主要道路和各村内街道连续播报。</w:t>
      </w:r>
    </w:p>
    <w:p>
      <w:pPr>
        <w:pStyle w:val="25"/>
      </w:pPr>
      <w:r>
        <w:t>三是协调联动、强力整治。按照县政府主要领导要求，严厉打击“黑加油站（点）”，做到“两拆一起一恢复”（拆除加油机、罩棚，起出储油罐，恢复地貌）。</w:t>
      </w:r>
    </w:p>
    <w:p>
      <w:pPr>
        <w:pStyle w:val="25"/>
      </w:pPr>
      <w:r>
        <w:t>四是创新管理、加强监管。首先，建立健全全县成品油经营市场的网格化管理模式。</w:t>
      </w:r>
    </w:p>
    <w:p>
      <w:pPr>
        <w:pStyle w:val="25"/>
      </w:pPr>
      <w:r>
        <w:t>2、创新开拓，加快推动2024年中央服务业发展资金项目工作。</w:t>
      </w:r>
    </w:p>
    <w:p>
      <w:pPr>
        <w:pStyle w:val="25"/>
      </w:pPr>
      <w:r>
        <w:t>依托2024年中央服务业发展资金项目，在电子商务进农村全覆盖基础上，促使工业品能下乡，农村商品能进城，农村电商网店能开展便民服务。</w:t>
      </w:r>
    </w:p>
    <w:p>
      <w:pPr>
        <w:pStyle w:val="25"/>
      </w:pPr>
      <w:r>
        <w:t>3、加快推动外贸企业的发展。</w:t>
      </w:r>
    </w:p>
    <w:p>
      <w:pPr>
        <w:pStyle w:val="25"/>
      </w:pPr>
      <w:r>
        <w:t>从我县外贸出口各项经济指标完成情况来看，虽然各项指标相比同期均有增长，但按时序进度来看还有一定差距，下一步，我县将转移商务工作重心，以外面出口为核心，凝聚力量，以问题为导向，找准病因，创新举措，狠抓落实，通过多种途径激发外贸出口企业的活力，促进外贸出口企业扩大业务量，争取在最短的时间内赶上进度要求，年底前完成各项指标。</w:t>
      </w:r>
    </w:p>
    <w:p>
      <w:pPr>
        <w:spacing w:before="10" w:after="10" w:line="360" w:lineRule="auto"/>
        <w:outlineLvl w:val="2"/>
        <w:sectPr>
          <w:pgSz w:w="16840" w:h="11900" w:orient="landscape"/>
          <w:pgMar w:top="1361" w:right="1020" w:bottom="1134" w:left="1020" w:header="720" w:footer="720" w:gutter="0"/>
          <w:cols w:space="720" w:num="1"/>
        </w:sectPr>
      </w:pPr>
    </w:p>
    <w:p>
      <w:pPr>
        <w:spacing w:before="10" w:after="10" w:line="360" w:lineRule="auto"/>
        <w:outlineLvl w:val="2"/>
        <w:sectPr>
          <w:pgSz w:w="16840" w:h="11900" w:orient="landscape"/>
          <w:pgMar w:top="1361" w:right="1020" w:bottom="1134" w:left="1020" w:header="720" w:footer="720" w:gutter="0"/>
          <w:cols w:space="720" w:num="1"/>
        </w:sectPr>
      </w:pPr>
      <w:bookmarkStart w:id="14" w:name="_Toc160200711"/>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1、潮悦里运营经费项目绩效目标表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13063424P00431210001X</w:t>
            </w:r>
          </w:p>
        </w:tc>
        <w:tc>
          <w:tcPr>
            <w:tcW w:w="2114" w:type="dxa"/>
            <w:vAlign w:val="center"/>
          </w:tcPr>
          <w:p>
            <w:pPr>
              <w:pStyle w:val="12"/>
            </w:pPr>
            <w:r>
              <w:t>项目名称</w:t>
            </w:r>
          </w:p>
        </w:tc>
        <w:tc>
          <w:tcPr>
            <w:tcW w:w="6342" w:type="dxa"/>
            <w:gridSpan w:val="3"/>
            <w:vAlign w:val="center"/>
          </w:tcPr>
          <w:p>
            <w:pPr>
              <w:pStyle w:val="14"/>
            </w:pPr>
            <w:r>
              <w:t>潮悦里运营经费项目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50.00</w:t>
            </w:r>
          </w:p>
        </w:tc>
        <w:tc>
          <w:tcPr>
            <w:tcW w:w="2114" w:type="dxa"/>
            <w:vAlign w:val="center"/>
          </w:tcPr>
          <w:p>
            <w:pPr>
              <w:pStyle w:val="12"/>
            </w:pPr>
            <w:r>
              <w:t>其中：财政    资金</w:t>
            </w:r>
          </w:p>
        </w:tc>
        <w:tc>
          <w:tcPr>
            <w:tcW w:w="2114" w:type="dxa"/>
            <w:vAlign w:val="center"/>
          </w:tcPr>
          <w:p>
            <w:pPr>
              <w:pStyle w:val="14"/>
            </w:pPr>
            <w:r>
              <w:t>50.00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预算数500000元，其中财政资金500000元，用于打造成一个集艺术主题、灯光亮化、美陈景观、网红打卡、潮玩时尚、餐饮娱乐、休闲购物于一体的城市会客厅。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12.50</w:t>
            </w:r>
          </w:p>
        </w:tc>
        <w:tc>
          <w:tcPr>
            <w:tcW w:w="2114" w:type="dxa"/>
            <w:vAlign w:val="center"/>
          </w:tcPr>
          <w:p>
            <w:pPr>
              <w:pStyle w:val="15"/>
            </w:pPr>
            <w:r>
              <w:t>25.00</w:t>
            </w:r>
          </w:p>
        </w:tc>
        <w:tc>
          <w:tcPr>
            <w:tcW w:w="2114" w:type="dxa"/>
            <w:vAlign w:val="center"/>
          </w:tcPr>
          <w:p>
            <w:pPr>
              <w:pStyle w:val="15"/>
            </w:pPr>
            <w:r>
              <w:t>37.50</w:t>
            </w:r>
          </w:p>
        </w:tc>
        <w:tc>
          <w:tcPr>
            <w:tcW w:w="4228" w:type="dxa"/>
            <w:gridSpan w:val="2"/>
            <w:vAlign w:val="center"/>
          </w:tcPr>
          <w:p>
            <w:pPr>
              <w:pStyle w:val="15"/>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1.潮悦里将打造成一个集艺术主题、灯光亮化、美陈景观、网红打卡、潮玩时尚、餐饮娱乐、休闲购物于一体的城市会客厅</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保障运转组织机构场所</w:t>
            </w:r>
          </w:p>
        </w:tc>
        <w:tc>
          <w:tcPr>
            <w:tcW w:w="4228" w:type="dxa"/>
            <w:vAlign w:val="center"/>
          </w:tcPr>
          <w:p>
            <w:pPr>
              <w:pStyle w:val="14"/>
            </w:pPr>
            <w:r>
              <w:t>保障运转组织机构场所</w:t>
            </w:r>
          </w:p>
        </w:tc>
        <w:tc>
          <w:tcPr>
            <w:tcW w:w="2114" w:type="dxa"/>
            <w:vAlign w:val="center"/>
          </w:tcPr>
          <w:p>
            <w:pPr>
              <w:pStyle w:val="14"/>
            </w:pPr>
            <w:r>
              <w:t>1个</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保障办公正常运转率</w:t>
            </w:r>
          </w:p>
        </w:tc>
        <w:tc>
          <w:tcPr>
            <w:tcW w:w="4228" w:type="dxa"/>
            <w:vAlign w:val="center"/>
          </w:tcPr>
          <w:p>
            <w:pPr>
              <w:pStyle w:val="14"/>
            </w:pPr>
            <w:r>
              <w:t>保障办公正常运转率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招商工作完成进度</w:t>
            </w:r>
          </w:p>
        </w:tc>
        <w:tc>
          <w:tcPr>
            <w:tcW w:w="4228" w:type="dxa"/>
            <w:vAlign w:val="center"/>
          </w:tcPr>
          <w:p>
            <w:pPr>
              <w:pStyle w:val="14"/>
            </w:pPr>
            <w:r>
              <w:t>招商工作完成进度</w:t>
            </w:r>
          </w:p>
        </w:tc>
        <w:tc>
          <w:tcPr>
            <w:tcW w:w="2114" w:type="dxa"/>
            <w:vAlign w:val="center"/>
          </w:tcPr>
          <w:p>
            <w:pPr>
              <w:pStyle w:val="14"/>
            </w:pPr>
            <w:r>
              <w:t>按工作进度</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办公运行成本</w:t>
            </w:r>
          </w:p>
        </w:tc>
        <w:tc>
          <w:tcPr>
            <w:tcW w:w="4228" w:type="dxa"/>
            <w:vAlign w:val="center"/>
          </w:tcPr>
          <w:p>
            <w:pPr>
              <w:pStyle w:val="14"/>
            </w:pPr>
            <w:r>
              <w:t>办公运行成本</w:t>
            </w:r>
          </w:p>
        </w:tc>
        <w:tc>
          <w:tcPr>
            <w:tcW w:w="2114" w:type="dxa"/>
            <w:vAlign w:val="center"/>
          </w:tcPr>
          <w:p>
            <w:pPr>
              <w:pStyle w:val="14"/>
            </w:pPr>
            <w:r>
              <w:t>≤50万元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促进消费增长率</w:t>
            </w:r>
          </w:p>
        </w:tc>
        <w:tc>
          <w:tcPr>
            <w:tcW w:w="4228" w:type="dxa"/>
            <w:vAlign w:val="center"/>
          </w:tcPr>
          <w:p>
            <w:pPr>
              <w:pStyle w:val="14"/>
            </w:pPr>
            <w:r>
              <w:t>改善区域人民社交，促进消费</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≥98%</w:t>
            </w:r>
          </w:p>
        </w:tc>
        <w:tc>
          <w:tcPr>
            <w:tcW w:w="2114" w:type="dxa"/>
            <w:vAlign w:val="center"/>
          </w:tcPr>
          <w:p>
            <w:pPr>
              <w:pStyle w:val="14"/>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2、打击“黑加油站点”和非法报废汽车回收拆解整治工作经费绩效目标表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13063424P0061E810004E</w:t>
            </w:r>
          </w:p>
        </w:tc>
        <w:tc>
          <w:tcPr>
            <w:tcW w:w="2114" w:type="dxa"/>
            <w:vAlign w:val="center"/>
          </w:tcPr>
          <w:p>
            <w:pPr>
              <w:pStyle w:val="12"/>
            </w:pPr>
            <w:r>
              <w:t>项目名称</w:t>
            </w:r>
          </w:p>
        </w:tc>
        <w:tc>
          <w:tcPr>
            <w:tcW w:w="6342" w:type="dxa"/>
            <w:gridSpan w:val="3"/>
            <w:vAlign w:val="center"/>
          </w:tcPr>
          <w:p>
            <w:pPr>
              <w:pStyle w:val="14"/>
            </w:pPr>
            <w:r>
              <w:t>打击“黑加油站点”和非法报废汽车回收拆解整治工作经费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20.00</w:t>
            </w:r>
          </w:p>
        </w:tc>
        <w:tc>
          <w:tcPr>
            <w:tcW w:w="2114" w:type="dxa"/>
            <w:vAlign w:val="center"/>
          </w:tcPr>
          <w:p>
            <w:pPr>
              <w:pStyle w:val="12"/>
            </w:pPr>
            <w:r>
              <w:t>其中：财政    资金</w:t>
            </w:r>
          </w:p>
        </w:tc>
        <w:tc>
          <w:tcPr>
            <w:tcW w:w="2114" w:type="dxa"/>
            <w:vAlign w:val="center"/>
          </w:tcPr>
          <w:p>
            <w:pPr>
              <w:pStyle w:val="14"/>
            </w:pPr>
            <w:r>
              <w:t>20.00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预算数200000元，其中财政资金200000元，用于打击“黑加油站点”和非法报废汽车回收拆解整治工作。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5.00</w:t>
            </w:r>
          </w:p>
        </w:tc>
        <w:tc>
          <w:tcPr>
            <w:tcW w:w="2114" w:type="dxa"/>
            <w:vAlign w:val="center"/>
          </w:tcPr>
          <w:p>
            <w:pPr>
              <w:pStyle w:val="15"/>
            </w:pPr>
            <w:r>
              <w:t>10.00</w:t>
            </w:r>
          </w:p>
        </w:tc>
        <w:tc>
          <w:tcPr>
            <w:tcW w:w="2114" w:type="dxa"/>
            <w:vAlign w:val="center"/>
          </w:tcPr>
          <w:p>
            <w:pPr>
              <w:pStyle w:val="15"/>
            </w:pPr>
            <w:r>
              <w:t>15.00</w:t>
            </w:r>
          </w:p>
        </w:tc>
        <w:tc>
          <w:tcPr>
            <w:tcW w:w="4228"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rPr>
                <w:rFonts w:hint="eastAsia" w:eastAsiaTheme="minorEastAsia"/>
                <w:lang w:eastAsia="zh-CN"/>
              </w:rPr>
            </w:pPr>
            <w:r>
              <w:t>1.通过打击“黑加油站点”和非法报废汽车回收拆解整治工作，严厉查处制售劣质油品等违法违规行为。</w:t>
            </w:r>
            <w:r>
              <w:tab/>
            </w:r>
            <w:r>
              <w:tab/>
            </w:r>
            <w:r>
              <w:tab/>
            </w:r>
            <w:r>
              <w:tab/>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开展执法行动次数</w:t>
            </w:r>
          </w:p>
        </w:tc>
        <w:tc>
          <w:tcPr>
            <w:tcW w:w="4228" w:type="dxa"/>
            <w:vAlign w:val="center"/>
          </w:tcPr>
          <w:p>
            <w:pPr>
              <w:pStyle w:val="14"/>
            </w:pPr>
            <w:r>
              <w:t>开展执法行动次数</w:t>
            </w:r>
          </w:p>
        </w:tc>
        <w:tc>
          <w:tcPr>
            <w:tcW w:w="2114" w:type="dxa"/>
            <w:vAlign w:val="center"/>
          </w:tcPr>
          <w:p>
            <w:pPr>
              <w:pStyle w:val="14"/>
            </w:pPr>
            <w:r>
              <w:t>≥15次</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查处报废机动车辆处理率</w:t>
            </w:r>
          </w:p>
        </w:tc>
        <w:tc>
          <w:tcPr>
            <w:tcW w:w="4228" w:type="dxa"/>
            <w:vAlign w:val="center"/>
          </w:tcPr>
          <w:p>
            <w:pPr>
              <w:pStyle w:val="14"/>
            </w:pPr>
            <w:r>
              <w:t>查处报废机动车辆处理率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监督检查完成率</w:t>
            </w:r>
          </w:p>
        </w:tc>
        <w:tc>
          <w:tcPr>
            <w:tcW w:w="4228" w:type="dxa"/>
            <w:vAlign w:val="center"/>
          </w:tcPr>
          <w:p>
            <w:pPr>
              <w:pStyle w:val="14"/>
            </w:pPr>
            <w:r>
              <w:t>监督检查完成率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监督执法工作成本</w:t>
            </w:r>
          </w:p>
        </w:tc>
        <w:tc>
          <w:tcPr>
            <w:tcW w:w="4228" w:type="dxa"/>
            <w:vAlign w:val="center"/>
          </w:tcPr>
          <w:p>
            <w:pPr>
              <w:pStyle w:val="14"/>
            </w:pPr>
            <w:r>
              <w:t>监督执法工作成本</w:t>
            </w:r>
          </w:p>
        </w:tc>
        <w:tc>
          <w:tcPr>
            <w:tcW w:w="2114" w:type="dxa"/>
            <w:vAlign w:val="center"/>
          </w:tcPr>
          <w:p>
            <w:pPr>
              <w:pStyle w:val="14"/>
            </w:pPr>
            <w:r>
              <w:t>≤20万元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成品油及二手车市场经营规范率</w:t>
            </w:r>
          </w:p>
        </w:tc>
        <w:tc>
          <w:tcPr>
            <w:tcW w:w="4228" w:type="dxa"/>
            <w:vAlign w:val="center"/>
          </w:tcPr>
          <w:p>
            <w:pPr>
              <w:pStyle w:val="14"/>
            </w:pPr>
            <w:r>
              <w:t>成品油及二手车市场经营规范率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企业满意度</w:t>
            </w:r>
          </w:p>
        </w:tc>
        <w:tc>
          <w:tcPr>
            <w:tcW w:w="4228" w:type="dxa"/>
            <w:vAlign w:val="center"/>
          </w:tcPr>
          <w:p>
            <w:pPr>
              <w:pStyle w:val="14"/>
            </w:pPr>
            <w:r>
              <w:t>企业满意度</w:t>
            </w:r>
          </w:p>
        </w:tc>
        <w:tc>
          <w:tcPr>
            <w:tcW w:w="2114" w:type="dxa"/>
            <w:vAlign w:val="center"/>
          </w:tcPr>
          <w:p>
            <w:pPr>
              <w:pStyle w:val="14"/>
            </w:pPr>
            <w:r>
              <w:t>≥90%</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3、曲阳县电子商务“农村淘宝”项目经费绩效目标表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13063424P00CB9D10004K</w:t>
            </w:r>
          </w:p>
        </w:tc>
        <w:tc>
          <w:tcPr>
            <w:tcW w:w="2114" w:type="dxa"/>
            <w:vAlign w:val="center"/>
          </w:tcPr>
          <w:p>
            <w:pPr>
              <w:pStyle w:val="12"/>
            </w:pPr>
            <w:r>
              <w:t>项目名称</w:t>
            </w:r>
          </w:p>
        </w:tc>
        <w:tc>
          <w:tcPr>
            <w:tcW w:w="6342" w:type="dxa"/>
            <w:gridSpan w:val="3"/>
            <w:vAlign w:val="center"/>
          </w:tcPr>
          <w:p>
            <w:pPr>
              <w:pStyle w:val="14"/>
            </w:pPr>
            <w:r>
              <w:t>曲阳县电子商务“农村淘宝”项目经费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14.00</w:t>
            </w:r>
          </w:p>
        </w:tc>
        <w:tc>
          <w:tcPr>
            <w:tcW w:w="2114" w:type="dxa"/>
            <w:vAlign w:val="center"/>
          </w:tcPr>
          <w:p>
            <w:pPr>
              <w:pStyle w:val="12"/>
            </w:pPr>
            <w:r>
              <w:t>其中：财政    资金</w:t>
            </w:r>
          </w:p>
        </w:tc>
        <w:tc>
          <w:tcPr>
            <w:tcW w:w="2114" w:type="dxa"/>
            <w:vAlign w:val="center"/>
          </w:tcPr>
          <w:p>
            <w:pPr>
              <w:pStyle w:val="14"/>
            </w:pPr>
            <w:r>
              <w:t>14.00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预算数140000元，其中财政拨款140000元，用于农村电子商务公共服务运转。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3.50</w:t>
            </w:r>
          </w:p>
        </w:tc>
        <w:tc>
          <w:tcPr>
            <w:tcW w:w="2114" w:type="dxa"/>
            <w:vAlign w:val="center"/>
          </w:tcPr>
          <w:p>
            <w:pPr>
              <w:pStyle w:val="15"/>
            </w:pPr>
            <w:r>
              <w:t>7.00</w:t>
            </w:r>
          </w:p>
        </w:tc>
        <w:tc>
          <w:tcPr>
            <w:tcW w:w="2114" w:type="dxa"/>
            <w:vAlign w:val="center"/>
          </w:tcPr>
          <w:p>
            <w:pPr>
              <w:pStyle w:val="15"/>
            </w:pPr>
            <w:r>
              <w:t>10.50</w:t>
            </w:r>
          </w:p>
        </w:tc>
        <w:tc>
          <w:tcPr>
            <w:tcW w:w="4228" w:type="dxa"/>
            <w:gridSpan w:val="2"/>
            <w:vAlign w:val="center"/>
          </w:tcPr>
          <w:p>
            <w:pPr>
              <w:pStyle w:val="15"/>
            </w:pPr>
            <w:r>
              <w:t>14.00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1.通过曲阳县电子商务农村淘宝项目，完善农村电子商务公共服务体系，发挥电商企业的主体作用，强化电商创业增收。</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电商多媒体宣传次数</w:t>
            </w:r>
          </w:p>
        </w:tc>
        <w:tc>
          <w:tcPr>
            <w:tcW w:w="4228" w:type="dxa"/>
            <w:vAlign w:val="center"/>
          </w:tcPr>
          <w:p>
            <w:pPr>
              <w:pStyle w:val="14"/>
            </w:pPr>
            <w:r>
              <w:t>电商多媒体宣传次数</w:t>
            </w:r>
          </w:p>
        </w:tc>
        <w:tc>
          <w:tcPr>
            <w:tcW w:w="2114" w:type="dxa"/>
            <w:vAlign w:val="center"/>
          </w:tcPr>
          <w:p>
            <w:pPr>
              <w:pStyle w:val="14"/>
            </w:pPr>
            <w:r>
              <w:t>≥20次</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电商宣传工作完成率</w:t>
            </w:r>
          </w:p>
        </w:tc>
        <w:tc>
          <w:tcPr>
            <w:tcW w:w="4228" w:type="dxa"/>
            <w:vAlign w:val="center"/>
          </w:tcPr>
          <w:p>
            <w:pPr>
              <w:pStyle w:val="14"/>
            </w:pPr>
            <w:r>
              <w:t>电商宣传工作完成率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电商宣传工作完成支付进度</w:t>
            </w:r>
          </w:p>
        </w:tc>
        <w:tc>
          <w:tcPr>
            <w:tcW w:w="4228" w:type="dxa"/>
            <w:vAlign w:val="center"/>
          </w:tcPr>
          <w:p>
            <w:pPr>
              <w:pStyle w:val="14"/>
            </w:pPr>
            <w:r>
              <w:t>电商宣传工作完成支付进度</w:t>
            </w:r>
          </w:p>
        </w:tc>
        <w:tc>
          <w:tcPr>
            <w:tcW w:w="2114" w:type="dxa"/>
            <w:vAlign w:val="center"/>
          </w:tcPr>
          <w:p>
            <w:pPr>
              <w:pStyle w:val="14"/>
            </w:pPr>
            <w:r>
              <w:t>按进度支付</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电商宣传工作经费成本</w:t>
            </w:r>
          </w:p>
        </w:tc>
        <w:tc>
          <w:tcPr>
            <w:tcW w:w="4228" w:type="dxa"/>
            <w:vAlign w:val="center"/>
          </w:tcPr>
          <w:p>
            <w:pPr>
              <w:pStyle w:val="14"/>
            </w:pPr>
            <w:r>
              <w:t>电商宣传工作经费成本</w:t>
            </w:r>
          </w:p>
        </w:tc>
        <w:tc>
          <w:tcPr>
            <w:tcW w:w="2114" w:type="dxa"/>
            <w:vAlign w:val="center"/>
          </w:tcPr>
          <w:p>
            <w:pPr>
              <w:pStyle w:val="14"/>
            </w:pPr>
            <w:r>
              <w:t>≤14万元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电商交易额增长率</w:t>
            </w:r>
          </w:p>
        </w:tc>
        <w:tc>
          <w:tcPr>
            <w:tcW w:w="4228" w:type="dxa"/>
            <w:vAlign w:val="center"/>
          </w:tcPr>
          <w:p>
            <w:pPr>
              <w:pStyle w:val="14"/>
            </w:pPr>
            <w:r>
              <w:t>电商交易增长额占上年交易额的比例</w:t>
            </w:r>
          </w:p>
        </w:tc>
        <w:tc>
          <w:tcPr>
            <w:tcW w:w="2114" w:type="dxa"/>
            <w:vAlign w:val="center"/>
          </w:tcPr>
          <w:p>
            <w:pPr>
              <w:pStyle w:val="14"/>
            </w:pPr>
            <w:r>
              <w:t>≥5%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受益人员满意度</w:t>
            </w:r>
          </w:p>
        </w:tc>
        <w:tc>
          <w:tcPr>
            <w:tcW w:w="4228" w:type="dxa"/>
            <w:vAlign w:val="center"/>
          </w:tcPr>
          <w:p>
            <w:pPr>
              <w:pStyle w:val="14"/>
            </w:pPr>
            <w:r>
              <w:t>服务对象满意度占调查人数的比例</w:t>
            </w:r>
          </w:p>
        </w:tc>
        <w:tc>
          <w:tcPr>
            <w:tcW w:w="2114" w:type="dxa"/>
            <w:vAlign w:val="center"/>
          </w:tcPr>
          <w:p>
            <w:pPr>
              <w:pStyle w:val="14"/>
            </w:pPr>
            <w:r>
              <w:t>≥90%</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4、曲阳县服务业发展资金绩效目标表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13063423P000028100017</w:t>
            </w:r>
          </w:p>
        </w:tc>
        <w:tc>
          <w:tcPr>
            <w:tcW w:w="2114" w:type="dxa"/>
            <w:vAlign w:val="center"/>
          </w:tcPr>
          <w:p>
            <w:pPr>
              <w:pStyle w:val="12"/>
            </w:pPr>
            <w:r>
              <w:t>项目名称</w:t>
            </w:r>
          </w:p>
        </w:tc>
        <w:tc>
          <w:tcPr>
            <w:tcW w:w="6342" w:type="dxa"/>
            <w:gridSpan w:val="3"/>
            <w:vAlign w:val="center"/>
          </w:tcPr>
          <w:p>
            <w:pPr>
              <w:pStyle w:val="14"/>
            </w:pPr>
            <w:r>
              <w:t>曲阳县服务业发展资金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253.47</w:t>
            </w:r>
          </w:p>
        </w:tc>
        <w:tc>
          <w:tcPr>
            <w:tcW w:w="2114" w:type="dxa"/>
            <w:vAlign w:val="center"/>
          </w:tcPr>
          <w:p>
            <w:pPr>
              <w:pStyle w:val="12"/>
            </w:pPr>
            <w:r>
              <w:t>其中：财政    资金</w:t>
            </w:r>
          </w:p>
        </w:tc>
        <w:tc>
          <w:tcPr>
            <w:tcW w:w="2114" w:type="dxa"/>
            <w:vAlign w:val="center"/>
          </w:tcPr>
          <w:p>
            <w:pPr>
              <w:pStyle w:val="14"/>
            </w:pPr>
            <w:r>
              <w:t>253.47</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预算数2534679.88元，其中财政资金2534679.88元；用于县域经济统筹。建设县域商业体系。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253.47</w:t>
            </w:r>
          </w:p>
        </w:tc>
        <w:tc>
          <w:tcPr>
            <w:tcW w:w="2114" w:type="dxa"/>
            <w:vAlign w:val="center"/>
          </w:tcPr>
          <w:p>
            <w:pPr>
              <w:pStyle w:val="15"/>
            </w:pPr>
            <w:r>
              <w:t>253.47</w:t>
            </w:r>
          </w:p>
        </w:tc>
        <w:tc>
          <w:tcPr>
            <w:tcW w:w="2114" w:type="dxa"/>
            <w:vAlign w:val="center"/>
          </w:tcPr>
          <w:p>
            <w:pPr>
              <w:pStyle w:val="15"/>
            </w:pPr>
            <w:r>
              <w:t>253.47</w:t>
            </w:r>
          </w:p>
        </w:tc>
        <w:tc>
          <w:tcPr>
            <w:tcW w:w="4228" w:type="dxa"/>
            <w:gridSpan w:val="2"/>
            <w:vAlign w:val="center"/>
          </w:tcPr>
          <w:p>
            <w:pPr>
              <w:pStyle w:val="15"/>
            </w:pPr>
            <w:r>
              <w:t>253.47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1.建立完善县域统筹，以县城为中心、乡镇为重点、村为基础的县域商业体系。</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符合补助标准的站（点）个数</w:t>
            </w:r>
          </w:p>
          <w:p>
            <w:pPr>
              <w:pStyle w:val="14"/>
            </w:pPr>
          </w:p>
        </w:tc>
        <w:tc>
          <w:tcPr>
            <w:tcW w:w="4228" w:type="dxa"/>
            <w:vAlign w:val="center"/>
          </w:tcPr>
          <w:p>
            <w:pPr>
              <w:pStyle w:val="14"/>
            </w:pPr>
            <w:r>
              <w:t>符合补助标准的站（点）个数</w:t>
            </w:r>
          </w:p>
          <w:p>
            <w:pPr>
              <w:pStyle w:val="14"/>
            </w:pPr>
          </w:p>
        </w:tc>
        <w:tc>
          <w:tcPr>
            <w:tcW w:w="2114" w:type="dxa"/>
            <w:vAlign w:val="center"/>
          </w:tcPr>
          <w:p>
            <w:pPr>
              <w:pStyle w:val="14"/>
            </w:pPr>
            <w:r>
              <w:t>1家</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补贴资金发放完成率</w:t>
            </w:r>
          </w:p>
        </w:tc>
        <w:tc>
          <w:tcPr>
            <w:tcW w:w="4228" w:type="dxa"/>
            <w:vAlign w:val="center"/>
          </w:tcPr>
          <w:p>
            <w:pPr>
              <w:pStyle w:val="14"/>
            </w:pPr>
            <w:r>
              <w:t>补贴资金发放完成率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补贴资金发放支付进度</w:t>
            </w:r>
          </w:p>
        </w:tc>
        <w:tc>
          <w:tcPr>
            <w:tcW w:w="4228" w:type="dxa"/>
            <w:vAlign w:val="center"/>
          </w:tcPr>
          <w:p>
            <w:pPr>
              <w:pStyle w:val="14"/>
            </w:pPr>
            <w:r>
              <w:t>补贴资金发放支付进度</w:t>
            </w:r>
          </w:p>
        </w:tc>
        <w:tc>
          <w:tcPr>
            <w:tcW w:w="2114" w:type="dxa"/>
            <w:vAlign w:val="center"/>
          </w:tcPr>
          <w:p>
            <w:pPr>
              <w:pStyle w:val="14"/>
            </w:pPr>
            <w:r>
              <w:t>按完成进度支付</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补助资金成本</w:t>
            </w:r>
          </w:p>
        </w:tc>
        <w:tc>
          <w:tcPr>
            <w:tcW w:w="4228" w:type="dxa"/>
            <w:vAlign w:val="center"/>
          </w:tcPr>
          <w:p>
            <w:pPr>
              <w:pStyle w:val="14"/>
            </w:pPr>
            <w:r>
              <w:t>补助资金成本</w:t>
            </w:r>
          </w:p>
        </w:tc>
        <w:tc>
          <w:tcPr>
            <w:tcW w:w="2114" w:type="dxa"/>
            <w:vAlign w:val="center"/>
          </w:tcPr>
          <w:p>
            <w:pPr>
              <w:pStyle w:val="14"/>
            </w:pPr>
            <w:r>
              <w:t>2534679.88元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提高生活服务供给质量程度</w:t>
            </w:r>
          </w:p>
        </w:tc>
        <w:tc>
          <w:tcPr>
            <w:tcW w:w="4228" w:type="dxa"/>
            <w:vAlign w:val="center"/>
          </w:tcPr>
          <w:p>
            <w:pPr>
              <w:pStyle w:val="14"/>
            </w:pPr>
            <w:r>
              <w:t>提高生活服务供给质量程度</w:t>
            </w:r>
          </w:p>
        </w:tc>
        <w:tc>
          <w:tcPr>
            <w:tcW w:w="2114" w:type="dxa"/>
            <w:vAlign w:val="center"/>
          </w:tcPr>
          <w:p>
            <w:pPr>
              <w:pStyle w:val="14"/>
            </w:pPr>
            <w:r>
              <w:t>有所提高</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受益群众满意度</w:t>
            </w:r>
          </w:p>
        </w:tc>
        <w:tc>
          <w:tcPr>
            <w:tcW w:w="4228" w:type="dxa"/>
            <w:vAlign w:val="center"/>
          </w:tcPr>
          <w:p>
            <w:pPr>
              <w:pStyle w:val="14"/>
            </w:pPr>
            <w:r>
              <w:t>受益群众满意度</w:t>
            </w:r>
          </w:p>
        </w:tc>
        <w:tc>
          <w:tcPr>
            <w:tcW w:w="2114" w:type="dxa"/>
            <w:vAlign w:val="center"/>
          </w:tcPr>
          <w:p>
            <w:pPr>
              <w:pStyle w:val="14"/>
            </w:pPr>
            <w:r>
              <w:t>≥90%</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5、曲阳县扩大外贸出口服务经费绩效目标表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13063424P00086510004A</w:t>
            </w:r>
          </w:p>
        </w:tc>
        <w:tc>
          <w:tcPr>
            <w:tcW w:w="2114" w:type="dxa"/>
            <w:vAlign w:val="center"/>
          </w:tcPr>
          <w:p>
            <w:pPr>
              <w:pStyle w:val="12"/>
            </w:pPr>
            <w:r>
              <w:t>项目名称</w:t>
            </w:r>
          </w:p>
        </w:tc>
        <w:tc>
          <w:tcPr>
            <w:tcW w:w="6342" w:type="dxa"/>
            <w:gridSpan w:val="3"/>
            <w:vAlign w:val="center"/>
          </w:tcPr>
          <w:p>
            <w:pPr>
              <w:pStyle w:val="14"/>
            </w:pPr>
            <w:r>
              <w:t>曲阳县扩大外贸出口服务经费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w:t>
            </w:r>
          </w:p>
        </w:tc>
        <w:tc>
          <w:tcPr>
            <w:tcW w:w="2114" w:type="dxa"/>
            <w:vAlign w:val="center"/>
          </w:tcPr>
          <w:p>
            <w:pPr>
              <w:pStyle w:val="12"/>
            </w:pPr>
            <w:r>
              <w:t>其中：财政    资金</w:t>
            </w:r>
          </w:p>
        </w:tc>
        <w:tc>
          <w:tcPr>
            <w:tcW w:w="2114" w:type="dxa"/>
            <w:vAlign w:val="center"/>
          </w:tcPr>
          <w:p>
            <w:pPr>
              <w:pStyle w:val="14"/>
            </w:pPr>
            <w:r>
              <w:t>10.00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预算数100000元，其中财政资金100000元用于曲阳县扩大外贸出口服务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w:t>
            </w:r>
          </w:p>
        </w:tc>
        <w:tc>
          <w:tcPr>
            <w:tcW w:w="2114" w:type="dxa"/>
            <w:vAlign w:val="center"/>
          </w:tcPr>
          <w:p>
            <w:pPr>
              <w:pStyle w:val="15"/>
            </w:pPr>
            <w:r>
              <w:t>5.00</w:t>
            </w:r>
          </w:p>
        </w:tc>
        <w:tc>
          <w:tcPr>
            <w:tcW w:w="2114" w:type="dxa"/>
            <w:vAlign w:val="center"/>
          </w:tcPr>
          <w:p>
            <w:pPr>
              <w:pStyle w:val="15"/>
            </w:pPr>
            <w:r>
              <w:t>7.50</w:t>
            </w:r>
          </w:p>
        </w:tc>
        <w:tc>
          <w:tcPr>
            <w:tcW w:w="4228"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1.通过曲阳县扩大外贸出口服务经费项目，积极应对</w:t>
            </w:r>
            <w:r>
              <w:rPr>
                <w:rFonts w:hint="eastAsia"/>
                <w:lang w:eastAsia="zh-CN"/>
              </w:rPr>
              <w:t>新冠肺炎</w:t>
            </w:r>
            <w:r>
              <w:t>疫情影响，努力稳住外贸外资基本盘。</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符合奖补条件的企业数</w:t>
            </w:r>
          </w:p>
        </w:tc>
        <w:tc>
          <w:tcPr>
            <w:tcW w:w="4228" w:type="dxa"/>
            <w:vAlign w:val="center"/>
          </w:tcPr>
          <w:p>
            <w:pPr>
              <w:pStyle w:val="14"/>
            </w:pPr>
            <w:r>
              <w:t>符合奖补条件的企业数</w:t>
            </w:r>
          </w:p>
        </w:tc>
        <w:tc>
          <w:tcPr>
            <w:tcW w:w="2114" w:type="dxa"/>
            <w:vAlign w:val="center"/>
          </w:tcPr>
          <w:p>
            <w:pPr>
              <w:pStyle w:val="14"/>
            </w:pPr>
            <w:r>
              <w:t>≥1家</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奖补发放完成率</w:t>
            </w:r>
          </w:p>
        </w:tc>
        <w:tc>
          <w:tcPr>
            <w:tcW w:w="4228" w:type="dxa"/>
            <w:vAlign w:val="center"/>
          </w:tcPr>
          <w:p>
            <w:pPr>
              <w:pStyle w:val="14"/>
            </w:pPr>
            <w:r>
              <w:t>奖补发放完成率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奖补发放进度</w:t>
            </w:r>
          </w:p>
        </w:tc>
        <w:tc>
          <w:tcPr>
            <w:tcW w:w="4228" w:type="dxa"/>
            <w:vAlign w:val="center"/>
          </w:tcPr>
          <w:p>
            <w:pPr>
              <w:pStyle w:val="14"/>
            </w:pPr>
            <w:r>
              <w:t>奖补发放进度</w:t>
            </w:r>
          </w:p>
        </w:tc>
        <w:tc>
          <w:tcPr>
            <w:tcW w:w="2114" w:type="dxa"/>
            <w:vAlign w:val="center"/>
          </w:tcPr>
          <w:p>
            <w:pPr>
              <w:pStyle w:val="14"/>
            </w:pPr>
            <w:r>
              <w:t>按完成申请时间</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企业奖补标准</w:t>
            </w:r>
          </w:p>
        </w:tc>
        <w:tc>
          <w:tcPr>
            <w:tcW w:w="4228" w:type="dxa"/>
            <w:vAlign w:val="center"/>
          </w:tcPr>
          <w:p>
            <w:pPr>
              <w:pStyle w:val="14"/>
            </w:pPr>
            <w:r>
              <w:t>年度累计出口额达到200万元</w:t>
            </w:r>
          </w:p>
        </w:tc>
        <w:tc>
          <w:tcPr>
            <w:tcW w:w="2114" w:type="dxa"/>
            <w:vAlign w:val="center"/>
          </w:tcPr>
          <w:p>
            <w:pPr>
              <w:pStyle w:val="14"/>
            </w:pPr>
            <w:r>
              <w:t>5万元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企业奖补标准</w:t>
            </w:r>
          </w:p>
        </w:tc>
        <w:tc>
          <w:tcPr>
            <w:tcW w:w="4228" w:type="dxa"/>
            <w:vAlign w:val="center"/>
          </w:tcPr>
          <w:p>
            <w:pPr>
              <w:pStyle w:val="14"/>
            </w:pPr>
            <w:r>
              <w:t>年度累计出口额达到200万元</w:t>
            </w:r>
          </w:p>
        </w:tc>
        <w:tc>
          <w:tcPr>
            <w:tcW w:w="2114" w:type="dxa"/>
            <w:vAlign w:val="center"/>
          </w:tcPr>
          <w:p>
            <w:pPr>
              <w:pStyle w:val="14"/>
            </w:pPr>
            <w:r>
              <w:t>10万元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外贸交易额稳定性保障率</w:t>
            </w:r>
          </w:p>
        </w:tc>
        <w:tc>
          <w:tcPr>
            <w:tcW w:w="4228" w:type="dxa"/>
            <w:vAlign w:val="center"/>
          </w:tcPr>
          <w:p>
            <w:pPr>
              <w:pStyle w:val="14"/>
            </w:pPr>
            <w:r>
              <w:t>外贸交易额稳定性保障率</w:t>
            </w:r>
          </w:p>
        </w:tc>
        <w:tc>
          <w:tcPr>
            <w:tcW w:w="2114" w:type="dxa"/>
            <w:vAlign w:val="center"/>
          </w:tcPr>
          <w:p>
            <w:pPr>
              <w:pStyle w:val="14"/>
            </w:pPr>
            <w:r>
              <w:t>≥90%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受益企业满意度</w:t>
            </w:r>
          </w:p>
        </w:tc>
        <w:tc>
          <w:tcPr>
            <w:tcW w:w="4228" w:type="dxa"/>
            <w:vAlign w:val="center"/>
          </w:tcPr>
          <w:p>
            <w:pPr>
              <w:pStyle w:val="14"/>
            </w:pPr>
            <w:r>
              <w:t>受益企业满意度比例</w:t>
            </w:r>
          </w:p>
        </w:tc>
        <w:tc>
          <w:tcPr>
            <w:tcW w:w="2114" w:type="dxa"/>
            <w:vAlign w:val="center"/>
          </w:tcPr>
          <w:p>
            <w:pPr>
              <w:pStyle w:val="14"/>
            </w:pPr>
            <w:r>
              <w:t>≥90%</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6、曲阳县商务局劳务派遣人员项目经费绩效目标表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13063424P00391710003D</w:t>
            </w:r>
          </w:p>
        </w:tc>
        <w:tc>
          <w:tcPr>
            <w:tcW w:w="2114" w:type="dxa"/>
            <w:vAlign w:val="center"/>
          </w:tcPr>
          <w:p>
            <w:pPr>
              <w:pStyle w:val="12"/>
            </w:pPr>
            <w:r>
              <w:t>项目名称</w:t>
            </w:r>
          </w:p>
        </w:tc>
        <w:tc>
          <w:tcPr>
            <w:tcW w:w="6342" w:type="dxa"/>
            <w:gridSpan w:val="3"/>
            <w:vAlign w:val="center"/>
          </w:tcPr>
          <w:p>
            <w:pPr>
              <w:pStyle w:val="14"/>
            </w:pPr>
            <w:r>
              <w:t>曲阳县商务局劳务派遣人员项目经费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11.40</w:t>
            </w:r>
          </w:p>
        </w:tc>
        <w:tc>
          <w:tcPr>
            <w:tcW w:w="2114" w:type="dxa"/>
            <w:vAlign w:val="center"/>
          </w:tcPr>
          <w:p>
            <w:pPr>
              <w:pStyle w:val="12"/>
            </w:pPr>
            <w:r>
              <w:t>其中：财政    资金</w:t>
            </w:r>
          </w:p>
        </w:tc>
        <w:tc>
          <w:tcPr>
            <w:tcW w:w="2114" w:type="dxa"/>
            <w:vAlign w:val="center"/>
          </w:tcPr>
          <w:p>
            <w:pPr>
              <w:pStyle w:val="14"/>
            </w:pPr>
            <w:r>
              <w:t>11.40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预算数114000元，其中财政拨款114000元，用于对劳务派遣人员及时足额发放工资、缴纳保险。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2.85</w:t>
            </w:r>
          </w:p>
        </w:tc>
        <w:tc>
          <w:tcPr>
            <w:tcW w:w="2114" w:type="dxa"/>
            <w:vAlign w:val="center"/>
          </w:tcPr>
          <w:p>
            <w:pPr>
              <w:pStyle w:val="15"/>
            </w:pPr>
            <w:r>
              <w:t>5.70</w:t>
            </w:r>
          </w:p>
        </w:tc>
        <w:tc>
          <w:tcPr>
            <w:tcW w:w="2114" w:type="dxa"/>
            <w:vAlign w:val="center"/>
          </w:tcPr>
          <w:p>
            <w:pPr>
              <w:pStyle w:val="15"/>
            </w:pPr>
            <w:r>
              <w:t>8.55</w:t>
            </w:r>
          </w:p>
        </w:tc>
        <w:tc>
          <w:tcPr>
            <w:tcW w:w="4228" w:type="dxa"/>
            <w:gridSpan w:val="2"/>
            <w:vAlign w:val="center"/>
          </w:tcPr>
          <w:p>
            <w:pPr>
              <w:pStyle w:val="15"/>
            </w:pPr>
            <w:r>
              <w:t>11.40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1.通过对劳务派遣人员及时足额发放工资、缴纳保险，保障劳务派遣人员正常工作和生活需要。</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劳务派遣人员数量</w:t>
            </w:r>
          </w:p>
        </w:tc>
        <w:tc>
          <w:tcPr>
            <w:tcW w:w="4228" w:type="dxa"/>
            <w:vAlign w:val="center"/>
          </w:tcPr>
          <w:p>
            <w:pPr>
              <w:pStyle w:val="14"/>
            </w:pPr>
            <w:r>
              <w:t>劳务派遣人员数量</w:t>
            </w:r>
          </w:p>
        </w:tc>
        <w:tc>
          <w:tcPr>
            <w:tcW w:w="2114" w:type="dxa"/>
            <w:vAlign w:val="center"/>
          </w:tcPr>
          <w:p>
            <w:pPr>
              <w:pStyle w:val="14"/>
            </w:pPr>
            <w:r>
              <w:t>3人</w:t>
            </w:r>
          </w:p>
        </w:tc>
        <w:tc>
          <w:tcPr>
            <w:tcW w:w="2114"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劳务派遣补助发放到位率</w:t>
            </w:r>
          </w:p>
        </w:tc>
        <w:tc>
          <w:tcPr>
            <w:tcW w:w="4228" w:type="dxa"/>
            <w:vAlign w:val="center"/>
          </w:tcPr>
          <w:p>
            <w:pPr>
              <w:pStyle w:val="14"/>
            </w:pPr>
            <w:r>
              <w:t>劳务派遣补助发放到位率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劳务派遣补助发放时间</w:t>
            </w:r>
          </w:p>
        </w:tc>
        <w:tc>
          <w:tcPr>
            <w:tcW w:w="4228" w:type="dxa"/>
            <w:vAlign w:val="center"/>
          </w:tcPr>
          <w:p>
            <w:pPr>
              <w:pStyle w:val="14"/>
            </w:pPr>
            <w:r>
              <w:t>劳务派遣补助发放时间</w:t>
            </w:r>
          </w:p>
        </w:tc>
        <w:tc>
          <w:tcPr>
            <w:tcW w:w="2114" w:type="dxa"/>
            <w:vAlign w:val="center"/>
          </w:tcPr>
          <w:p>
            <w:pPr>
              <w:pStyle w:val="14"/>
            </w:pPr>
            <w:r>
              <w:t>按月拨付</w:t>
            </w:r>
          </w:p>
        </w:tc>
        <w:tc>
          <w:tcPr>
            <w:tcW w:w="2114"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劳务派遣月均补助成本</w:t>
            </w:r>
          </w:p>
        </w:tc>
        <w:tc>
          <w:tcPr>
            <w:tcW w:w="4228" w:type="dxa"/>
            <w:vAlign w:val="center"/>
          </w:tcPr>
          <w:p>
            <w:pPr>
              <w:pStyle w:val="14"/>
            </w:pPr>
            <w:r>
              <w:t>劳务派遣人均补助成本</w:t>
            </w:r>
          </w:p>
        </w:tc>
        <w:tc>
          <w:tcPr>
            <w:tcW w:w="2114" w:type="dxa"/>
            <w:vAlign w:val="center"/>
          </w:tcPr>
          <w:p>
            <w:pPr>
              <w:pStyle w:val="14"/>
            </w:pPr>
            <w:r>
              <w:t>≥2864.01元/月</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劳务派遣人员尽职尽责率</w:t>
            </w:r>
          </w:p>
        </w:tc>
        <w:tc>
          <w:tcPr>
            <w:tcW w:w="4228" w:type="dxa"/>
            <w:vAlign w:val="center"/>
          </w:tcPr>
          <w:p>
            <w:pPr>
              <w:pStyle w:val="14"/>
            </w:pPr>
            <w:r>
              <w:t>劳务派遣人员尽职尽责率</w:t>
            </w:r>
          </w:p>
        </w:tc>
        <w:tc>
          <w:tcPr>
            <w:tcW w:w="2114" w:type="dxa"/>
            <w:vAlign w:val="center"/>
          </w:tcPr>
          <w:p>
            <w:pPr>
              <w:pStyle w:val="14"/>
            </w:pPr>
            <w:r>
              <w:t>≥98%</w:t>
            </w:r>
          </w:p>
        </w:tc>
        <w:tc>
          <w:tcPr>
            <w:tcW w:w="2114" w:type="dxa"/>
            <w:vAlign w:val="center"/>
          </w:tcPr>
          <w:p>
            <w:pPr>
              <w:pStyle w:val="14"/>
            </w:pPr>
            <w:r>
              <w:t>依据工作方案</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≥98%</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7、商务局公益岗人员经费绩效目标表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13063424P004ER6100042</w:t>
            </w:r>
          </w:p>
        </w:tc>
        <w:tc>
          <w:tcPr>
            <w:tcW w:w="2114" w:type="dxa"/>
            <w:vAlign w:val="center"/>
          </w:tcPr>
          <w:p>
            <w:pPr>
              <w:pStyle w:val="12"/>
            </w:pPr>
            <w:r>
              <w:t>项目名称</w:t>
            </w:r>
          </w:p>
        </w:tc>
        <w:tc>
          <w:tcPr>
            <w:tcW w:w="6342" w:type="dxa"/>
            <w:gridSpan w:val="3"/>
            <w:vAlign w:val="center"/>
          </w:tcPr>
          <w:p>
            <w:pPr>
              <w:pStyle w:val="14"/>
            </w:pPr>
            <w:r>
              <w:t>商务局公益岗人员经费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24.88</w:t>
            </w:r>
          </w:p>
        </w:tc>
        <w:tc>
          <w:tcPr>
            <w:tcW w:w="2114" w:type="dxa"/>
            <w:vAlign w:val="center"/>
          </w:tcPr>
          <w:p>
            <w:pPr>
              <w:pStyle w:val="12"/>
            </w:pPr>
            <w:r>
              <w:t>其中：财政    资金</w:t>
            </w:r>
          </w:p>
        </w:tc>
        <w:tc>
          <w:tcPr>
            <w:tcW w:w="2114" w:type="dxa"/>
            <w:vAlign w:val="center"/>
          </w:tcPr>
          <w:p>
            <w:pPr>
              <w:pStyle w:val="14"/>
            </w:pPr>
            <w:r>
              <w:t>24.88</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预算数248800元，其中财政资金248800元，用于发放公益岗人员工资及保险，保障涉军公益岗人员的基本生活。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6.22</w:t>
            </w:r>
          </w:p>
        </w:tc>
        <w:tc>
          <w:tcPr>
            <w:tcW w:w="2114" w:type="dxa"/>
            <w:vAlign w:val="center"/>
          </w:tcPr>
          <w:p>
            <w:pPr>
              <w:pStyle w:val="15"/>
            </w:pPr>
            <w:r>
              <w:t>12.44</w:t>
            </w:r>
          </w:p>
        </w:tc>
        <w:tc>
          <w:tcPr>
            <w:tcW w:w="2114" w:type="dxa"/>
            <w:vAlign w:val="center"/>
          </w:tcPr>
          <w:p>
            <w:pPr>
              <w:pStyle w:val="15"/>
            </w:pPr>
            <w:r>
              <w:t>18.66</w:t>
            </w:r>
          </w:p>
        </w:tc>
        <w:tc>
          <w:tcPr>
            <w:tcW w:w="4228" w:type="dxa"/>
            <w:gridSpan w:val="2"/>
            <w:vAlign w:val="center"/>
          </w:tcPr>
          <w:p>
            <w:pPr>
              <w:pStyle w:val="15"/>
            </w:pPr>
            <w:r>
              <w:t>24.88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1.通过按月发放工资及保险，保障涉军公益岗人员的基本生活。</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公益岗补贴发放人数</w:t>
            </w:r>
          </w:p>
        </w:tc>
        <w:tc>
          <w:tcPr>
            <w:tcW w:w="4228" w:type="dxa"/>
            <w:vAlign w:val="center"/>
          </w:tcPr>
          <w:p>
            <w:pPr>
              <w:pStyle w:val="14"/>
            </w:pPr>
            <w:r>
              <w:t>公益岗补贴发放人数</w:t>
            </w:r>
          </w:p>
        </w:tc>
        <w:tc>
          <w:tcPr>
            <w:tcW w:w="2114" w:type="dxa"/>
            <w:vAlign w:val="center"/>
          </w:tcPr>
          <w:p>
            <w:pPr>
              <w:pStyle w:val="14"/>
            </w:pPr>
            <w:r>
              <w:t>7人</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公益岗补贴发放覆盖率</w:t>
            </w:r>
          </w:p>
        </w:tc>
        <w:tc>
          <w:tcPr>
            <w:tcW w:w="4228" w:type="dxa"/>
            <w:vAlign w:val="center"/>
          </w:tcPr>
          <w:p>
            <w:pPr>
              <w:pStyle w:val="14"/>
            </w:pPr>
            <w:r>
              <w:t>公益岗补贴发放覆盖率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公益岗补贴发放时间</w:t>
            </w:r>
          </w:p>
        </w:tc>
        <w:tc>
          <w:tcPr>
            <w:tcW w:w="4228" w:type="dxa"/>
            <w:vAlign w:val="center"/>
          </w:tcPr>
          <w:p>
            <w:pPr>
              <w:pStyle w:val="14"/>
            </w:pPr>
            <w:r>
              <w:t>公益岗补贴发放时间</w:t>
            </w:r>
          </w:p>
        </w:tc>
        <w:tc>
          <w:tcPr>
            <w:tcW w:w="2114" w:type="dxa"/>
            <w:vAlign w:val="center"/>
          </w:tcPr>
          <w:p>
            <w:pPr>
              <w:pStyle w:val="14"/>
            </w:pPr>
            <w:r>
              <w:t>按月拨付</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公益岗月每年军龄补贴成本</w:t>
            </w:r>
          </w:p>
        </w:tc>
        <w:tc>
          <w:tcPr>
            <w:tcW w:w="4228" w:type="dxa"/>
            <w:vAlign w:val="center"/>
          </w:tcPr>
          <w:p>
            <w:pPr>
              <w:pStyle w:val="14"/>
            </w:pPr>
            <w:r>
              <w:t>公益岗月每年军龄补贴成本</w:t>
            </w:r>
          </w:p>
        </w:tc>
        <w:tc>
          <w:tcPr>
            <w:tcW w:w="2114" w:type="dxa"/>
            <w:vAlign w:val="center"/>
          </w:tcPr>
          <w:p>
            <w:pPr>
              <w:pStyle w:val="14"/>
            </w:pPr>
            <w:r>
              <w:t>50元/月/军龄</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公益岗月人均补贴成本</w:t>
            </w:r>
          </w:p>
        </w:tc>
        <w:tc>
          <w:tcPr>
            <w:tcW w:w="4228" w:type="dxa"/>
            <w:vAlign w:val="center"/>
          </w:tcPr>
          <w:p>
            <w:pPr>
              <w:pStyle w:val="14"/>
            </w:pPr>
            <w:r>
              <w:t>公益岗月人均补贴成本</w:t>
            </w:r>
          </w:p>
        </w:tc>
        <w:tc>
          <w:tcPr>
            <w:tcW w:w="2114" w:type="dxa"/>
            <w:vAlign w:val="center"/>
          </w:tcPr>
          <w:p>
            <w:pPr>
              <w:pStyle w:val="14"/>
            </w:pPr>
            <w:r>
              <w:t>2810元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符合条件退役军人安置率</w:t>
            </w:r>
          </w:p>
        </w:tc>
        <w:tc>
          <w:tcPr>
            <w:tcW w:w="4228" w:type="dxa"/>
            <w:vAlign w:val="center"/>
          </w:tcPr>
          <w:p>
            <w:pPr>
              <w:pStyle w:val="14"/>
            </w:pPr>
            <w:r>
              <w:t>符合条件退役军人安置率</w:t>
            </w:r>
          </w:p>
        </w:tc>
        <w:tc>
          <w:tcPr>
            <w:tcW w:w="2114" w:type="dxa"/>
            <w:vAlign w:val="center"/>
          </w:tcPr>
          <w:p>
            <w:pPr>
              <w:pStyle w:val="14"/>
            </w:pPr>
            <w:r>
              <w:t>≥98%</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受益对象满意度</w:t>
            </w:r>
          </w:p>
        </w:tc>
        <w:tc>
          <w:tcPr>
            <w:tcW w:w="4228" w:type="dxa"/>
            <w:vAlign w:val="center"/>
          </w:tcPr>
          <w:p>
            <w:pPr>
              <w:pStyle w:val="14"/>
            </w:pPr>
            <w:r>
              <w:t>受益对象满意度比例</w:t>
            </w:r>
          </w:p>
        </w:tc>
        <w:tc>
          <w:tcPr>
            <w:tcW w:w="2114" w:type="dxa"/>
            <w:vAlign w:val="center"/>
          </w:tcPr>
          <w:p>
            <w:pPr>
              <w:pStyle w:val="14"/>
            </w:pPr>
            <w:r>
              <w:t>≥95%</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8、商务局招商引资经费项目绩效目标表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13063424P00002310002W</w:t>
            </w:r>
          </w:p>
        </w:tc>
        <w:tc>
          <w:tcPr>
            <w:tcW w:w="2114" w:type="dxa"/>
            <w:vAlign w:val="center"/>
          </w:tcPr>
          <w:p>
            <w:pPr>
              <w:pStyle w:val="12"/>
            </w:pPr>
            <w:r>
              <w:t>项目名称</w:t>
            </w:r>
          </w:p>
        </w:tc>
        <w:tc>
          <w:tcPr>
            <w:tcW w:w="6342" w:type="dxa"/>
            <w:gridSpan w:val="3"/>
            <w:vAlign w:val="center"/>
          </w:tcPr>
          <w:p>
            <w:pPr>
              <w:pStyle w:val="14"/>
            </w:pPr>
            <w:r>
              <w:t>商务局招商引资经费项目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10.00</w:t>
            </w:r>
          </w:p>
        </w:tc>
        <w:tc>
          <w:tcPr>
            <w:tcW w:w="2114" w:type="dxa"/>
            <w:vAlign w:val="center"/>
          </w:tcPr>
          <w:p>
            <w:pPr>
              <w:pStyle w:val="12"/>
            </w:pPr>
            <w:r>
              <w:t>其中：财政    资金</w:t>
            </w:r>
          </w:p>
        </w:tc>
        <w:tc>
          <w:tcPr>
            <w:tcW w:w="2114" w:type="dxa"/>
            <w:vAlign w:val="center"/>
          </w:tcPr>
          <w:p>
            <w:pPr>
              <w:pStyle w:val="14"/>
            </w:pPr>
            <w:r>
              <w:t>10.00</w:t>
            </w:r>
          </w:p>
        </w:tc>
        <w:tc>
          <w:tcPr>
            <w:tcW w:w="2114" w:type="dxa"/>
            <w:vAlign w:val="center"/>
          </w:tcPr>
          <w:p>
            <w:pPr>
              <w:pStyle w:val="12"/>
            </w:pPr>
            <w:r>
              <w:t>其他资金</w:t>
            </w:r>
          </w:p>
        </w:tc>
        <w:tc>
          <w:tcPr>
            <w:tcW w:w="2114"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预算数100000元，其中财政资金100000元，用于保障招商机构招商及办公运转。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w:t>
            </w:r>
          </w:p>
        </w:tc>
        <w:tc>
          <w:tcPr>
            <w:tcW w:w="2114" w:type="dxa"/>
            <w:vAlign w:val="center"/>
          </w:tcPr>
          <w:p>
            <w:pPr>
              <w:pStyle w:val="15"/>
            </w:pPr>
            <w:r>
              <w:t>5.00</w:t>
            </w:r>
          </w:p>
        </w:tc>
        <w:tc>
          <w:tcPr>
            <w:tcW w:w="2114" w:type="dxa"/>
            <w:vAlign w:val="center"/>
          </w:tcPr>
          <w:p>
            <w:pPr>
              <w:pStyle w:val="15"/>
            </w:pPr>
            <w:r>
              <w:t>7.50</w:t>
            </w:r>
          </w:p>
        </w:tc>
        <w:tc>
          <w:tcPr>
            <w:tcW w:w="4228"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1.保障招商机构招商及办公问题，达到使其更好的完成承担的工作任务的效果</w:t>
            </w:r>
          </w:p>
        </w:tc>
      </w:tr>
    </w:tbl>
    <w:p>
      <w:pPr>
        <w:spacing w:line="2" w:lineRule="exact"/>
        <w:jc w:val="center"/>
      </w:pP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保障运转组织机构场所</w:t>
            </w:r>
          </w:p>
        </w:tc>
        <w:tc>
          <w:tcPr>
            <w:tcW w:w="4228" w:type="dxa"/>
            <w:vAlign w:val="center"/>
          </w:tcPr>
          <w:p>
            <w:pPr>
              <w:pStyle w:val="14"/>
            </w:pPr>
            <w:r>
              <w:t>保障运转组织机构场所</w:t>
            </w:r>
          </w:p>
        </w:tc>
        <w:tc>
          <w:tcPr>
            <w:tcW w:w="2114" w:type="dxa"/>
            <w:vAlign w:val="center"/>
          </w:tcPr>
          <w:p>
            <w:pPr>
              <w:pStyle w:val="14"/>
            </w:pPr>
            <w:r>
              <w:t>1个</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办公正常运转率</w:t>
            </w:r>
          </w:p>
        </w:tc>
        <w:tc>
          <w:tcPr>
            <w:tcW w:w="4228" w:type="dxa"/>
            <w:vAlign w:val="center"/>
          </w:tcPr>
          <w:p>
            <w:pPr>
              <w:pStyle w:val="14"/>
            </w:pPr>
            <w:r>
              <w:t>办公正常运转率</w:t>
            </w:r>
          </w:p>
        </w:tc>
        <w:tc>
          <w:tcPr>
            <w:tcW w:w="2114" w:type="dxa"/>
            <w:vAlign w:val="center"/>
          </w:tcPr>
          <w:p>
            <w:pPr>
              <w:pStyle w:val="14"/>
            </w:pPr>
            <w:r>
              <w:t>100%</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招商工作支付完成进度</w:t>
            </w:r>
          </w:p>
        </w:tc>
        <w:tc>
          <w:tcPr>
            <w:tcW w:w="4228" w:type="dxa"/>
            <w:vAlign w:val="center"/>
          </w:tcPr>
          <w:p>
            <w:pPr>
              <w:pStyle w:val="14"/>
            </w:pPr>
            <w:r>
              <w:t>招商工作支付完成进度</w:t>
            </w:r>
          </w:p>
        </w:tc>
        <w:tc>
          <w:tcPr>
            <w:tcW w:w="2114" w:type="dxa"/>
            <w:vAlign w:val="center"/>
          </w:tcPr>
          <w:p>
            <w:pPr>
              <w:pStyle w:val="14"/>
            </w:pPr>
            <w:r>
              <w:t>按工作进度</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办公运行成本</w:t>
            </w:r>
          </w:p>
        </w:tc>
        <w:tc>
          <w:tcPr>
            <w:tcW w:w="4228" w:type="dxa"/>
            <w:vAlign w:val="center"/>
          </w:tcPr>
          <w:p>
            <w:pPr>
              <w:pStyle w:val="14"/>
            </w:pPr>
            <w:r>
              <w:t>办公运行成本</w:t>
            </w:r>
          </w:p>
        </w:tc>
        <w:tc>
          <w:tcPr>
            <w:tcW w:w="2114" w:type="dxa"/>
            <w:vAlign w:val="center"/>
          </w:tcPr>
          <w:p>
            <w:pPr>
              <w:pStyle w:val="14"/>
            </w:pPr>
            <w:r>
              <w:t>≤10万元</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提供优质服务</w:t>
            </w:r>
          </w:p>
        </w:tc>
        <w:tc>
          <w:tcPr>
            <w:tcW w:w="4228" w:type="dxa"/>
            <w:vAlign w:val="center"/>
          </w:tcPr>
          <w:p>
            <w:pPr>
              <w:pStyle w:val="14"/>
            </w:pPr>
            <w:r>
              <w:t>县域经济发展保障率</w:t>
            </w:r>
          </w:p>
        </w:tc>
        <w:tc>
          <w:tcPr>
            <w:tcW w:w="2114" w:type="dxa"/>
            <w:vAlign w:val="center"/>
          </w:tcPr>
          <w:p>
            <w:pPr>
              <w:pStyle w:val="14"/>
            </w:pPr>
            <w:r>
              <w:t>≥95%</w:t>
            </w:r>
          </w:p>
        </w:tc>
        <w:tc>
          <w:tcPr>
            <w:tcW w:w="2114"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办理单位满意度</w:t>
            </w:r>
          </w:p>
        </w:tc>
        <w:tc>
          <w:tcPr>
            <w:tcW w:w="4228" w:type="dxa"/>
            <w:vAlign w:val="center"/>
          </w:tcPr>
          <w:p>
            <w:pPr>
              <w:pStyle w:val="14"/>
            </w:pPr>
            <w:r>
              <w:t>办理单位满意度</w:t>
            </w:r>
          </w:p>
        </w:tc>
        <w:tc>
          <w:tcPr>
            <w:tcW w:w="2114" w:type="dxa"/>
            <w:vAlign w:val="center"/>
          </w:tcPr>
          <w:p>
            <w:pPr>
              <w:pStyle w:val="14"/>
            </w:pPr>
            <w:r>
              <w:t>≥95%</w:t>
            </w:r>
          </w:p>
        </w:tc>
        <w:tc>
          <w:tcPr>
            <w:tcW w:w="2114"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160200712"/>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322曲阳县商务局</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160200713"/>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曲阳县商务局（含所属单位）上年末固定资产金额为6.54万元（详见下表）。本年度拟购置固定资产总额为0.00万元，已按要求列入政府采购预算，详见政府采购预算表。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322曲阳县商务局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w:t>
            </w:r>
          </w:p>
        </w:tc>
        <w:tc>
          <w:tcPr>
            <w:tcW w:w="4933" w:type="dxa"/>
            <w:vAlign w:val="center"/>
          </w:tcPr>
          <w:p>
            <w:pPr>
              <w:pStyle w:val="13"/>
            </w:pPr>
            <w:r>
              <w:t>6.54</w:t>
            </w:r>
          </w:p>
        </w:tc>
      </w:tr>
    </w:tbl>
    <w:p>
      <w:pPr>
        <w:ind w:firstLine="640"/>
      </w:pPr>
    </w:p>
    <w:p>
      <w:pPr>
        <w:spacing w:before="10" w:after="10"/>
        <w:ind w:firstLine="640"/>
        <w:outlineLvl w:val="2"/>
      </w:pPr>
      <w:bookmarkStart w:id="17" w:name="_Toc160200714"/>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160200715"/>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MwMGVmNjMxY2Q4ZjUyMjY2MmM3YzU4NzZlOGRkNzYifQ=="/>
  </w:docVars>
  <w:rsids>
    <w:rsidRoot w:val="008C52CE"/>
    <w:rsid w:val="0037300C"/>
    <w:rsid w:val="006E0E70"/>
    <w:rsid w:val="00740047"/>
    <w:rsid w:val="008C52CE"/>
    <w:rsid w:val="00B96214"/>
    <w:rsid w:val="00E33D74"/>
    <w:rsid w:val="00E522F8"/>
    <w:rsid w:val="00EF57D0"/>
    <w:rsid w:val="13700B75"/>
    <w:rsid w:val="3284233B"/>
    <w:rsid w:val="666B1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31"/>
    <w:semiHidden/>
    <w:unhideWhenUsed/>
    <w:qFormat/>
    <w:uiPriority w:val="99"/>
    <w:pPr>
      <w:tabs>
        <w:tab w:val="center" w:pos="4153"/>
        <w:tab w:val="right" w:pos="8306"/>
      </w:tabs>
      <w:snapToGrid w:val="0"/>
    </w:pPr>
    <w:rPr>
      <w:sz w:val="18"/>
      <w:szCs w:val="18"/>
    </w:rPr>
  </w:style>
  <w:style w:type="paragraph" w:styleId="4">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7"/>
    <w:link w:val="4"/>
    <w:semiHidden/>
    <w:qFormat/>
    <w:uiPriority w:val="99"/>
    <w:rPr>
      <w:rFonts w:eastAsia="Times New Roman"/>
      <w:sz w:val="18"/>
      <w:szCs w:val="18"/>
      <w:lang w:eastAsia="uk-UA"/>
    </w:rPr>
  </w:style>
  <w:style w:type="character" w:customStyle="1" w:styleId="31">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2024-03-01T14:25:52Z</dcterms:created>
  <dcterms:modified xsi:type="dcterms:W3CDTF">2024-03-01T06:25:52Z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2024-03-01T14:25:53Z</dcterms:created>
  <dcterms:modified xsi:type="dcterms:W3CDTF">2024-03-01T06:25:53Z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2024-03-01T14:25:55Z</dcterms:created>
  <dcterms:modified xsi:type="dcterms:W3CDTF">2024-03-01T06:25:55Z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2024-03-01T14:25:55Z</dcterms:created>
  <dcterms:modified xsi:type="dcterms:W3CDTF">2024-03-01T06:25:55Z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2024-03-01T14:25:55Z</dcterms:created>
  <dcterms:modified xsi:type="dcterms:W3CDTF">2024-03-01T06:25:55Z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2024-03-01T14:25:55Z</dcterms:created>
  <dcterms:modified xsi:type="dcterms:W3CDTF">2024-03-01T06:25:55Z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2024-03-01T14:25:54Z</dcterms:created>
  <dcterms:modified xsi:type="dcterms:W3CDTF">2024-03-01T06:25:54Z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2024-03-01T14:25:56Z</dcterms:created>
  <dcterms:modified xsi:type="dcterms:W3CDTF">2024-03-01T06:25:56Z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2024-03-01T14:25:52Z</dcterms:created>
  <dcterms:modified xsi:type="dcterms:W3CDTF">2024-03-01T06:25:52Z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2024-03-01T14:25:51Z</dcterms:created>
  <dcterms:modified xsi:type="dcterms:W3CDTF">2024-03-01T06:25:50Z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2024-03-01T14:25:54Z</dcterms:created>
  <dcterms:modified xsi:type="dcterms:W3CDTF">2024-03-01T06:25:54Z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2024-03-01T14:25:54Z</dcterms:created>
  <dcterms:modified xsi:type="dcterms:W3CDTF">2024-03-01T06:25:54Z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D52968B-21B2-4D8A-A4EE-F76FBD6BEE72}">
  <ds:schemaRefs/>
</ds:datastoreItem>
</file>

<file path=customXml/itemProps11.xml><?xml version="1.0" encoding="utf-8"?>
<ds:datastoreItem xmlns:ds="http://schemas.openxmlformats.org/officeDocument/2006/customXml" ds:itemID="{9DC1ADB3-5647-46F4-A336-1D2815639F0B}">
  <ds:schemaRefs/>
</ds:datastoreItem>
</file>

<file path=customXml/itemProps12.xml><?xml version="1.0" encoding="utf-8"?>
<ds:datastoreItem xmlns:ds="http://schemas.openxmlformats.org/officeDocument/2006/customXml" ds:itemID="{073B9900-59CD-446B-AD11-FAE570C3E218}">
  <ds:schemaRefs/>
</ds:datastoreItem>
</file>

<file path=customXml/itemProps13.xml><?xml version="1.0" encoding="utf-8"?>
<ds:datastoreItem xmlns:ds="http://schemas.openxmlformats.org/officeDocument/2006/customXml" ds:itemID="{4BE8E89C-B808-44FB-898D-4B6B837E714F}">
  <ds:schemaRefs/>
</ds:datastoreItem>
</file>

<file path=customXml/itemProps14.xml><?xml version="1.0" encoding="utf-8"?>
<ds:datastoreItem xmlns:ds="http://schemas.openxmlformats.org/officeDocument/2006/customXml" ds:itemID="{02D779A1-9B77-4B58-9FED-B901669B326F}">
  <ds:schemaRefs/>
</ds:datastoreItem>
</file>

<file path=customXml/itemProps15.xml><?xml version="1.0" encoding="utf-8"?>
<ds:datastoreItem xmlns:ds="http://schemas.openxmlformats.org/officeDocument/2006/customXml" ds:itemID="{D7821C15-FCAF-4752-849C-72C6539FBEFF}">
  <ds:schemaRefs/>
</ds:datastoreItem>
</file>

<file path=customXml/itemProps16.xml><?xml version="1.0" encoding="utf-8"?>
<ds:datastoreItem xmlns:ds="http://schemas.openxmlformats.org/officeDocument/2006/customXml" ds:itemID="{B23D7DF0-903B-4EA9-8F74-BCBA55B47047}">
  <ds:schemaRefs/>
</ds:datastoreItem>
</file>

<file path=customXml/itemProps17.xml><?xml version="1.0" encoding="utf-8"?>
<ds:datastoreItem xmlns:ds="http://schemas.openxmlformats.org/officeDocument/2006/customXml" ds:itemID="{5B15EBA2-9A95-4516-8F44-E196EF691EE9}">
  <ds:schemaRefs/>
</ds:datastoreItem>
</file>

<file path=customXml/itemProps18.xml><?xml version="1.0" encoding="utf-8"?>
<ds:datastoreItem xmlns:ds="http://schemas.openxmlformats.org/officeDocument/2006/customXml" ds:itemID="{6A8FE552-FFBA-4B23-A62D-9410381052C3}">
  <ds:schemaRefs/>
</ds:datastoreItem>
</file>

<file path=customXml/itemProps19.xml><?xml version="1.0" encoding="utf-8"?>
<ds:datastoreItem xmlns:ds="http://schemas.openxmlformats.org/officeDocument/2006/customXml" ds:itemID="{A0B197E3-4B95-4654-AF43-39079F460ABA}">
  <ds:schemaRefs/>
</ds:datastoreItem>
</file>

<file path=customXml/itemProps2.xml><?xml version="1.0" encoding="utf-8"?>
<ds:datastoreItem xmlns:ds="http://schemas.openxmlformats.org/officeDocument/2006/customXml" ds:itemID="{7B5F1831-C89B-4989-8125-F4D84BEAA0AE}">
  <ds:schemaRefs/>
</ds:datastoreItem>
</file>

<file path=customXml/itemProps20.xml><?xml version="1.0" encoding="utf-8"?>
<ds:datastoreItem xmlns:ds="http://schemas.openxmlformats.org/officeDocument/2006/customXml" ds:itemID="{388F0D6B-0A59-49C8-B374-7A407FDAAEF6}">
  <ds:schemaRefs/>
</ds:datastoreItem>
</file>

<file path=customXml/itemProps21.xml><?xml version="1.0" encoding="utf-8"?>
<ds:datastoreItem xmlns:ds="http://schemas.openxmlformats.org/officeDocument/2006/customXml" ds:itemID="{B986FFC7-9015-4002-9FA5-31492B902C99}">
  <ds:schemaRefs/>
</ds:datastoreItem>
</file>

<file path=customXml/itemProps22.xml><?xml version="1.0" encoding="utf-8"?>
<ds:datastoreItem xmlns:ds="http://schemas.openxmlformats.org/officeDocument/2006/customXml" ds:itemID="{7EB06EDE-C0D1-4443-90C2-A86F1CD39BC2}">
  <ds:schemaRefs/>
</ds:datastoreItem>
</file>

<file path=customXml/itemProps23.xml><?xml version="1.0" encoding="utf-8"?>
<ds:datastoreItem xmlns:ds="http://schemas.openxmlformats.org/officeDocument/2006/customXml" ds:itemID="{5FB6D3CE-C2A6-47EE-A323-9F560125BBB8}">
  <ds:schemaRefs/>
</ds:datastoreItem>
</file>

<file path=customXml/itemProps24.xml><?xml version="1.0" encoding="utf-8"?>
<ds:datastoreItem xmlns:ds="http://schemas.openxmlformats.org/officeDocument/2006/customXml" ds:itemID="{1FF7B7F8-D3C2-40A9-88F4-27DE907BEEF9}">
  <ds:schemaRefs/>
</ds:datastoreItem>
</file>

<file path=customXml/itemProps25.xml><?xml version="1.0" encoding="utf-8"?>
<ds:datastoreItem xmlns:ds="http://schemas.openxmlformats.org/officeDocument/2006/customXml" ds:itemID="{6303A5F5-C0A3-46A6-A553-BA65C3A052AC}">
  <ds:schemaRefs/>
</ds:datastoreItem>
</file>

<file path=customXml/itemProps3.xml><?xml version="1.0" encoding="utf-8"?>
<ds:datastoreItem xmlns:ds="http://schemas.openxmlformats.org/officeDocument/2006/customXml" ds:itemID="{3D08D809-DDB9-4751-836F-E9BCB8DC608E}">
  <ds:schemaRefs/>
</ds:datastoreItem>
</file>

<file path=customXml/itemProps4.xml><?xml version="1.0" encoding="utf-8"?>
<ds:datastoreItem xmlns:ds="http://schemas.openxmlformats.org/officeDocument/2006/customXml" ds:itemID="{A826ADD8-61B7-47F4-AE31-2BD811912D6F}">
  <ds:schemaRefs/>
</ds:datastoreItem>
</file>

<file path=customXml/itemProps5.xml><?xml version="1.0" encoding="utf-8"?>
<ds:datastoreItem xmlns:ds="http://schemas.openxmlformats.org/officeDocument/2006/customXml" ds:itemID="{DB4B4171-34CA-4D4E-A5A1-C3670D4E545F}">
  <ds:schemaRefs/>
</ds:datastoreItem>
</file>

<file path=customXml/itemProps6.xml><?xml version="1.0" encoding="utf-8"?>
<ds:datastoreItem xmlns:ds="http://schemas.openxmlformats.org/officeDocument/2006/customXml" ds:itemID="{E71225D4-84B3-4362-B178-C75D60CD0631}">
  <ds:schemaRefs/>
</ds:datastoreItem>
</file>

<file path=customXml/itemProps7.xml><?xml version="1.0" encoding="utf-8"?>
<ds:datastoreItem xmlns:ds="http://schemas.openxmlformats.org/officeDocument/2006/customXml" ds:itemID="{450EB4CD-3FD1-41AC-8D53-D32C48593404}">
  <ds:schemaRefs/>
</ds:datastoreItem>
</file>

<file path=customXml/itemProps8.xml><?xml version="1.0" encoding="utf-8"?>
<ds:datastoreItem xmlns:ds="http://schemas.openxmlformats.org/officeDocument/2006/customXml" ds:itemID="{1CE6470D-779D-4B24-B5E9-996AB92BA7A5}">
  <ds:schemaRefs/>
</ds:datastoreItem>
</file>

<file path=customXml/itemProps9.xml><?xml version="1.0" encoding="utf-8"?>
<ds:datastoreItem xmlns:ds="http://schemas.openxmlformats.org/officeDocument/2006/customXml" ds:itemID="{7CC9BE6E-7FB4-4007-A4FB-DE35A526DD7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2689</Words>
  <Characters>15328</Characters>
  <Lines>127</Lines>
  <Paragraphs>35</Paragraphs>
  <TotalTime>12</TotalTime>
  <ScaleCrop>false</ScaleCrop>
  <LinksUpToDate>false</LinksUpToDate>
  <CharactersWithSpaces>17982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2024-03-01T06:32:00Z</dcterms:created>
  <dc:creator>Administrator</dc:creator>
  <cp:lastModifiedBy>6665</cp:lastModifiedBy>
  <dcterms:modified xsi:type="dcterms:W3CDTF">2025-02-08T01:54:05Z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D8CE39E9C62F4F5E9B89B2FCADA0CE5F_12</vt:lpwstr>
  </property>
</Properties>
</file>